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u w:val="single"/>
        </w:rPr>
      </w:pPr>
      <w:r>
        <w:rPr>
          <w:b/>
          <w:u w:val="single"/>
          <w:rtl w:val="false"/>
        </w:rPr>
        <w:t xml:space="preserve">English A - Learner Portfolio</w:t>
      </w:r>
      <w:r/>
    </w:p>
    <w:p>
      <w:pPr>
        <w:jc w:val="center"/>
        <w:rPr>
          <w:b/>
          <w:u w:val="single"/>
        </w:rPr>
      </w:pPr>
      <w:r>
        <w:rPr>
          <w:b/>
          <w:u w:val="single"/>
          <w:rtl w:val="false"/>
        </w:rPr>
        <w:t xml:space="preserve">End of Unit Reflection</w:t>
      </w:r>
      <w:r/>
    </w:p>
    <w:p>
      <w:pPr>
        <w:jc w:val="center"/>
        <w:rPr>
          <w:b/>
          <w:u w:val="single"/>
        </w:rPr>
      </w:pPr>
      <w:r>
        <w:rPr>
          <w:rtl w:val="false"/>
        </w:rPr>
      </w:r>
      <w:r/>
    </w:p>
    <w:p>
      <w:pPr>
        <w:jc w:val="center"/>
        <w:rPr>
          <w:b/>
          <w:u w:val="single"/>
        </w:rPr>
      </w:pPr>
      <w:r>
        <w:rPr>
          <w:rtl w:val="false"/>
        </w:rPr>
      </w:r>
      <w:r/>
    </w:p>
    <w:p>
      <w:pPr>
        <w:jc w:val="both"/>
        <w:rPr>
          <w:b/>
          <w:u w:val="single"/>
        </w:rPr>
      </w:pPr>
      <w:r>
        <w:rPr>
          <w:b/>
          <w:u w:val="single"/>
          <w:rtl w:val="false"/>
        </w:rPr>
        <w:t xml:space="preserve">Unit</w:t>
      </w:r>
      <w:r/>
    </w:p>
    <w:p>
      <w:pPr>
        <w:numPr>
          <w:ilvl w:val="0"/>
          <w:numId w:val="2"/>
        </w:numPr>
        <w:ind w:left="720" w:right="0" w:hanging="360"/>
        <w:jc w:val="both"/>
        <w:keepLines w:val="false"/>
        <w:keepNext w:val="false"/>
        <w:spacing w:lineRule="auto" w:line="240" w:after="0" w:before="0"/>
        <w:shd w:val="clear" w:color="auto" w:fill="auto"/>
        <w:widowControl/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Calibri" w:hAnsi="Calibri" w:cs="Calibri" w:eastAsia="Calibri"/>
          <w:b w:val="false"/>
          <w:i w:val="false"/>
          <w:smallCaps w:val="false"/>
          <w:strike w:val="false"/>
          <w:color w:val="000000"/>
          <w:sz w:val="24"/>
          <w:szCs w:val="24"/>
          <w:u w:val="none"/>
          <w:shd w:val="clear" w:color="auto" w:fill="auto"/>
          <w:vertAlign w:val="baseline"/>
          <w:rtl w:val="false"/>
        </w:rPr>
        <w:t xml:space="preserve">What work(s) / text(s) were you studying?</w:t>
      </w:r>
      <w:r/>
    </w:p>
    <w:p>
      <w:pPr>
        <w:jc w:val="both"/>
      </w:pPr>
      <w:r>
        <w:rPr>
          <w:rtl w:val="false"/>
        </w:rPr>
      </w:r>
      <w:r/>
    </w:p>
    <w:tbl>
      <w:tblPr>
        <w:tblStyle w:val="392"/>
        <w:tblW w:w="9036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036"/>
        <w:tblGridChange w:id="0">
          <w:tblGrid>
            <w:gridCol w:w="9036"/>
          </w:tblGrid>
        </w:tblGridChange>
      </w:tblGrid>
      <w:tr>
        <w:trPr>
          <w:trHeight w:val="1196"/>
        </w:trPr>
        <w:tc>
          <w:tcPr>
            <w:textDirection w:val="lrTb"/>
            <w:noWrap w:val="false"/>
          </w:tcPr>
          <w:p>
            <w:pPr>
              <w:jc w:val="both"/>
            </w:pPr>
            <w:r>
              <w:rPr>
                <w:rtl w:val="false"/>
              </w:rPr>
              <w:t xml:space="preserve">Carol Ann Duffy - Selected poems:</w:t>
            </w:r>
            <w:r/>
          </w:p>
          <w:p>
            <w:pPr>
              <w:jc w:val="both"/>
            </w:pPr>
            <w:r>
              <w:rPr>
                <w:rtl w:val="false"/>
              </w:rPr>
              <w:t xml:space="preserve">Anne Hathaway</w:t>
            </w:r>
            <w:r/>
          </w:p>
          <w:p>
            <w:pPr>
              <w:jc w:val="both"/>
            </w:pPr>
            <w:r>
              <w:rPr>
                <w:rtl w:val="false"/>
              </w:rPr>
              <w:t xml:space="preserve">Mrs Darwin</w:t>
            </w:r>
            <w:r>
              <w:rPr>
                <w:rtl w:val="false"/>
              </w:rPr>
            </w:r>
          </w:p>
          <w:p>
            <w:pPr>
              <w:jc w:val="both"/>
            </w:pPr>
            <w:r>
              <w:rPr>
                <w:rtl w:val="false"/>
              </w:rPr>
              <w:t xml:space="preserve">Salome</w:t>
            </w:r>
            <w:r>
              <w:rPr>
                <w:rtl w:val="false"/>
              </w:rPr>
            </w:r>
          </w:p>
          <w:p>
            <w:pPr>
              <w:jc w:val="both"/>
            </w:pPr>
            <w:r>
              <w:rPr>
                <w:rtl w:val="false"/>
              </w:rPr>
              <w:t xml:space="preserve">Education for Leisure</w:t>
            </w:r>
            <w:r>
              <w:rPr>
                <w:rtl w:val="false"/>
              </w:rPr>
            </w:r>
          </w:p>
          <w:p>
            <w:pPr>
              <w:jc w:val="both"/>
            </w:pPr>
            <w:r>
              <w:rPr>
                <w:rtl w:val="false"/>
              </w:rPr>
              <w:t xml:space="preserve">Mrs Schofield’s GCSE</w:t>
            </w:r>
            <w:r>
              <w:rPr>
                <w:rtl w:val="false"/>
              </w:rPr>
            </w:r>
          </w:p>
          <w:p>
            <w:pPr>
              <w:jc w:val="both"/>
            </w:pPr>
            <w:r>
              <w:rPr>
                <w:rtl w:val="false"/>
              </w:rPr>
              <w:t xml:space="preserve">Stealing</w:t>
            </w:r>
            <w:r>
              <w:rPr>
                <w:rtl w:val="false"/>
              </w:rPr>
            </w:r>
          </w:p>
          <w:p>
            <w:pPr>
              <w:jc w:val="both"/>
            </w:pPr>
            <w:r>
              <w:rPr>
                <w:rtl w:val="false"/>
              </w:rPr>
              <w:t xml:space="preserve">Havisham</w:t>
            </w:r>
            <w:r>
              <w:rPr>
                <w:rtl w:val="false"/>
              </w:rPr>
            </w:r>
          </w:p>
        </w:tc>
      </w:tr>
    </w:tbl>
    <w:p>
      <w:pPr>
        <w:ind w:left="0"/>
        <w:jc w:val="center"/>
        <w:rPr>
          <w:b/>
          <w:u w:val="single"/>
        </w:rPr>
      </w:pPr>
      <w:r>
        <w:rPr>
          <w:rtl w:val="false"/>
        </w:rPr>
      </w:r>
      <w:r/>
    </w:p>
    <w:p>
      <w:pPr>
        <w:jc w:val="both"/>
      </w:pPr>
      <w:r>
        <w:rPr>
          <w:rtl w:val="false"/>
        </w:rPr>
      </w:r>
      <w:r/>
    </w:p>
    <w:p>
      <w:pPr>
        <w:jc w:val="both"/>
      </w:pPr>
      <w:r>
        <w:rPr>
          <w:b/>
          <w:u w:val="single"/>
          <w:rtl w:val="false"/>
        </w:rPr>
        <w:t xml:space="preserve">Area of Exploration</w:t>
      </w:r>
      <w:r>
        <w:rPr>
          <w:rtl w:val="false"/>
        </w:rPr>
        <w:t xml:space="preserve"> – </w:t>
      </w:r>
      <w:r>
        <w:rPr>
          <w:i/>
          <w:rtl w:val="false"/>
        </w:rPr>
        <w:t xml:space="preserve">Intertextuality: Connecting Texts</w:t>
      </w:r>
      <w:r>
        <w:rPr>
          <w:rtl w:val="false"/>
        </w:rPr>
      </w:r>
      <w:r/>
    </w:p>
    <w:p>
      <w:pPr>
        <w:jc w:val="both"/>
        <w:rPr>
          <w:u w:val="single"/>
        </w:rPr>
      </w:pPr>
      <w:r>
        <w:rPr>
          <w:rtl w:val="false"/>
        </w:rPr>
      </w:r>
      <w:r/>
    </w:p>
    <w:p>
      <w:pPr>
        <w:numPr>
          <w:ilvl w:val="0"/>
          <w:numId w:val="1"/>
        </w:numPr>
        <w:ind w:left="720" w:right="0" w:hanging="360"/>
        <w:jc w:val="both"/>
        <w:keepLines w:val="false"/>
        <w:keepNext w:val="false"/>
        <w:spacing w:lineRule="auto" w:line="240" w:after="0" w:before="0"/>
        <w:shd w:val="clear" w:color="auto" w:fill="auto"/>
        <w:widowControl/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Calibri" w:hAnsi="Calibri" w:cs="Calibri" w:eastAsia="Calibri"/>
          <w:b w:val="false"/>
          <w:i w:val="false"/>
          <w:smallCaps w:val="false"/>
          <w:strike w:val="false"/>
          <w:color w:val="000000"/>
          <w:sz w:val="24"/>
          <w:szCs w:val="24"/>
          <w:u w:val="none"/>
          <w:shd w:val="clear" w:color="auto" w:fill="auto"/>
          <w:vertAlign w:val="baseline"/>
          <w:rtl w:val="false"/>
        </w:rPr>
        <w:t xml:space="preserve">Describe some of the connections (and contrasts) between this unit’s work(s) / text(s) and others. Consider traditions, allusions, direct analogies, literary movements etc.</w:t>
      </w:r>
      <w:r/>
    </w:p>
    <w:p>
      <w:pPr>
        <w:jc w:val="both"/>
      </w:pPr>
      <w:r>
        <w:rPr>
          <w:rtl w:val="false"/>
        </w:rPr>
      </w:r>
      <w:r/>
    </w:p>
    <w:tbl>
      <w:tblPr>
        <w:tblStyle w:val="393"/>
        <w:tblW w:w="9058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058"/>
        <w:tblGridChange w:id="1">
          <w:tblGrid>
            <w:gridCol w:w="9058"/>
          </w:tblGrid>
        </w:tblGridChange>
      </w:tblGrid>
      <w:tr>
        <w:trPr>
          <w:trHeight w:val="3340"/>
        </w:trPr>
        <w:tc>
          <w:tcPr>
            <w:textDirection w:val="lrTb"/>
            <w:noWrap w:val="false"/>
          </w:tcPr>
          <w:p>
            <w:pPr>
              <w:jc w:val="left"/>
            </w:pPr>
            <w:r>
              <w:rPr>
                <w:rtl w:val="false"/>
              </w:rPr>
              <w:t xml:space="preserve">Identity - In several poems the narrators are questioning their identity for example in Stealing the narrator is stealing a snowman looking for a friend.</w:t>
            </w:r>
            <w:r>
              <w:rPr>
                <w:rtl w:val="false"/>
              </w:rPr>
            </w:r>
            <w:r>
              <w:rPr>
                <w:rtl w:val="false"/>
              </w:rPr>
            </w:r>
          </w:p>
          <w:p>
            <w:pPr>
              <w:jc w:val="left"/>
            </w:pPr>
            <w:r>
              <w:rPr>
                <w:rtl w:val="false"/>
              </w:rPr>
              <w:t xml:space="preserve">Religion - This plays an important part in Salome as it is based on a biblical story </w:t>
            </w:r>
            <w:r>
              <w:rPr>
                <w:rtl w:val="false"/>
              </w:rPr>
            </w:r>
          </w:p>
          <w:p>
            <w:pPr>
              <w:jc w:val="left"/>
            </w:pPr>
            <w:r>
              <w:rPr>
                <w:rtl w:val="false"/>
              </w:rPr>
              <w:t xml:space="preserve">feminism - In the world’s wife Duffy is giving the female counterparts of prominent male figures a voice in society such as Mrs Darwin and Anne Hathaway</w:t>
            </w:r>
            <w:r>
              <w:rPr>
                <w:rtl w:val="false"/>
              </w:rPr>
            </w:r>
          </w:p>
          <w:p>
            <w:pPr>
              <w:jc w:val="left"/>
            </w:pPr>
            <w:r>
              <w:rPr>
                <w:rtl w:val="false"/>
              </w:rPr>
              <w:t xml:space="preserve">jealousy - In Stealing the narrator says that he breaks into houses just to have a look</w:t>
            </w:r>
            <w:r>
              <w:rPr>
                <w:rtl w:val="false"/>
              </w:rPr>
            </w:r>
          </w:p>
          <w:p>
            <w:pPr>
              <w:jc w:val="left"/>
              <w:rPr>
                <w:u w:val="single"/>
              </w:rPr>
            </w:pPr>
            <w:r>
              <w:rPr>
                <w:rtl w:val="false"/>
              </w:rPr>
            </w:r>
            <w:r>
              <w:rPr>
                <w:rtl w:val="false"/>
              </w:rPr>
            </w:r>
          </w:p>
        </w:tc>
      </w:tr>
    </w:tbl>
    <w:p>
      <w:pPr>
        <w:jc w:val="both"/>
        <w:rPr>
          <w:u w:val="single"/>
        </w:rPr>
      </w:pPr>
      <w:r>
        <w:rPr>
          <w:rtl w:val="false"/>
        </w:rPr>
      </w:r>
      <w:r/>
    </w:p>
    <w:p>
      <w:pPr>
        <w:jc w:val="both"/>
      </w:pPr>
      <w:r>
        <w:rPr>
          <w:rtl w:val="false"/>
        </w:rPr>
      </w:r>
      <w:r/>
    </w:p>
    <w:p>
      <w:pPr>
        <w:jc w:val="both"/>
      </w:pPr>
      <w:r>
        <w:rPr>
          <w:b/>
          <w:u w:val="single"/>
          <w:rtl w:val="false"/>
        </w:rPr>
        <w:t xml:space="preserve">Field of Inquiry</w:t>
      </w:r>
      <w:r>
        <w:rPr>
          <w:rtl w:val="false"/>
        </w:rPr>
        <w:t xml:space="preserve"> - </w:t>
      </w:r>
      <w:r/>
    </w:p>
    <w:p>
      <w:pPr>
        <w:ind w:left="720" w:right="0" w:firstLine="0"/>
        <w:jc w:val="both"/>
        <w:keepLines w:val="false"/>
        <w:keepNext w:val="false"/>
        <w:spacing w:lineRule="auto" w:line="240" w:after="0" w:before="0"/>
        <w:shd w:val="clear" w:color="auto" w:fill="auto"/>
        <w:widowControl/>
        <w:rPr>
          <w:rFonts w:ascii="Calibri" w:hAnsi="Calibri" w:cs="Calibri" w:eastAsia="Calibri"/>
          <w:b w:val="false"/>
          <w:i w:val="false"/>
          <w:smallCaps w:val="false"/>
          <w:strike w:val="false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720" w:right="0" w:firstLine="0"/>
        <w:jc w:val="both"/>
        <w:keepLines w:val="false"/>
        <w:keepNext w:val="false"/>
        <w:spacing w:lineRule="auto" w:line="240" w:after="0" w:before="0"/>
        <w:shd w:val="clear" w:color="auto" w:fill="auto"/>
        <w:widowControl/>
        <w:rPr>
          <w:rFonts w:ascii="Calibri" w:hAnsi="Calibri" w:cs="Calibri" w:eastAsia="Calibri"/>
          <w:b w:val="false"/>
          <w:i w:val="false"/>
          <w:smallCaps w:val="false"/>
          <w:strike w:val="false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0"/>
          <w:numId w:val="1"/>
        </w:numPr>
        <w:ind w:left="720" w:right="0" w:hanging="360"/>
        <w:jc w:val="both"/>
        <w:keepLines w:val="false"/>
        <w:keepNext w:val="false"/>
        <w:spacing w:lineRule="auto" w:line="240" w:after="0" w:before="0"/>
        <w:shd w:val="clear" w:color="auto" w:fill="auto"/>
        <w:widowControl/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Calibri" w:hAnsi="Calibri" w:cs="Calibri" w:eastAsia="Calibri"/>
          <w:b w:val="false"/>
          <w:i w:val="false"/>
          <w:smallCaps w:val="false"/>
          <w:strike w:val="false"/>
          <w:color w:val="000000"/>
          <w:sz w:val="24"/>
          <w:szCs w:val="24"/>
          <w:u w:val="none"/>
          <w:shd w:val="clear" w:color="auto" w:fill="auto"/>
          <w:vertAlign w:val="baseline"/>
          <w:rtl w:val="false"/>
        </w:rPr>
        <w:t xml:space="preserve">What were some of the global issues that arose in this unit’s work(s) / text(s)?</w:t>
      </w:r>
      <w:r/>
    </w:p>
    <w:p>
      <w:pPr>
        <w:jc w:val="both"/>
      </w:pPr>
      <w:r>
        <w:rPr>
          <w:rtl w:val="false"/>
        </w:rPr>
      </w:r>
      <w:r/>
    </w:p>
    <w:tbl>
      <w:tblPr>
        <w:tblStyle w:val="395"/>
        <w:tblW w:w="8958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958"/>
        <w:tblGridChange w:id="2">
          <w:tblGrid>
            <w:gridCol w:w="8983"/>
          </w:tblGrid>
        </w:tblGridChange>
      </w:tblGrid>
      <w:tr>
        <w:trPr>
          <w:trHeight w:val="1962"/>
        </w:trPr>
        <w:tc>
          <w:tcPr>
            <w:tcW w:w="0" w:type="auto"/>
            <w:textDirection w:val="lrTb"/>
            <w:noWrap w:val="false"/>
          </w:tcPr>
          <w:p>
            <w:pPr>
              <w:jc w:val="both"/>
            </w:pPr>
            <w:r>
              <w:rPr>
                <w:rtl w:val="false"/>
              </w:rPr>
              <w:t xml:space="preserve">Feminism</w:t>
            </w:r>
            <w:r/>
          </w:p>
          <w:p>
            <w:pPr>
              <w:jc w:val="both"/>
            </w:pPr>
            <w:r>
              <w:rPr>
                <w:rtl w:val="false"/>
              </w:rPr>
              <w:t xml:space="preserve">how women were/are portrayed in writing</w:t>
            </w:r>
            <w:r/>
            <w:r>
              <w:rPr>
                <w:rtl w:val="false"/>
              </w:rPr>
            </w:r>
          </w:p>
          <w:p>
            <w:pPr>
              <w:jc w:val="both"/>
            </w:pPr>
            <w:r>
              <w:rPr>
                <w:rtl w:val="false"/>
              </w:rPr>
              <w:t xml:space="preserve">beliefs</w:t>
            </w:r>
            <w:r>
              <w:rPr>
                <w:rtl w:val="false"/>
              </w:rPr>
            </w:r>
          </w:p>
          <w:p>
            <w:pPr>
              <w:jc w:val="both"/>
            </w:pPr>
            <w:r>
              <w:rPr>
                <w:rtl w:val="false"/>
              </w:rPr>
              <w:t xml:space="preserve">morals</w:t>
            </w:r>
            <w:r>
              <w:rPr>
                <w:rtl w:val="false"/>
              </w:rPr>
            </w:r>
          </w:p>
        </w:tc>
      </w:tr>
    </w:tbl>
    <w:p>
      <w:pPr>
        <w:jc w:val="both"/>
      </w:pPr>
      <w:r>
        <w:rPr>
          <w:b/>
          <w:u w:val="single"/>
          <w:rtl w:val="false"/>
        </w:rPr>
        <w:t xml:space="preserve">Central Concepts</w:t>
      </w:r>
      <w:r>
        <w:rPr>
          <w:rtl w:val="false"/>
        </w:rPr>
        <w:t xml:space="preserve"> - </w:t>
      </w:r>
      <w:r/>
    </w:p>
    <w:p>
      <w:pPr>
        <w:jc w:val="both"/>
      </w:pPr>
      <w:r>
        <w:rPr>
          <w:rtl w:val="false"/>
        </w:rPr>
      </w:r>
      <w:r/>
    </w:p>
    <w:p>
      <w:pPr>
        <w:ind w:left="720" w:right="0" w:firstLine="0"/>
        <w:jc w:val="both"/>
        <w:keepLines w:val="false"/>
        <w:keepNext w:val="false"/>
        <w:spacing w:lineRule="auto" w:line="240" w:after="0" w:before="0"/>
        <w:shd w:val="clear" w:color="auto" w:fill="auto"/>
        <w:widowControl/>
        <w:rPr>
          <w:rFonts w:ascii="Calibri" w:hAnsi="Calibri" w:cs="Calibri" w:eastAsia="Calibri"/>
          <w:b w:val="false"/>
          <w:i w:val="false"/>
          <w:smallCaps w:val="false"/>
          <w:strike w:val="false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0"/>
          <w:numId w:val="1"/>
        </w:numPr>
        <w:ind w:left="720" w:right="0" w:hanging="360"/>
        <w:jc w:val="both"/>
        <w:keepLines w:val="false"/>
        <w:keepNext w:val="false"/>
        <w:spacing w:lineRule="auto" w:line="240" w:after="0" w:before="0"/>
        <w:shd w:val="clear" w:color="auto" w:fill="auto"/>
        <w:widowControl/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Calibri" w:hAnsi="Calibri" w:cs="Calibri" w:eastAsia="Calibri"/>
          <w:b w:val="false"/>
          <w:i w:val="false"/>
          <w:smallCaps w:val="false"/>
          <w:strike w:val="false"/>
          <w:color w:val="000000"/>
          <w:sz w:val="24"/>
          <w:szCs w:val="24"/>
          <w:u w:val="none"/>
          <w:shd w:val="clear" w:color="auto" w:fill="auto"/>
          <w:vertAlign w:val="baseline"/>
          <w:rtl w:val="false"/>
        </w:rPr>
        <w:t xml:space="preserve">How were these raised in this unit’s work(s) / text(s)?</w:t>
      </w:r>
      <w:r/>
    </w:p>
    <w:p>
      <w:pPr>
        <w:jc w:val="both"/>
      </w:pPr>
      <w:r>
        <w:rPr>
          <w:rtl w:val="false"/>
        </w:rPr>
      </w:r>
      <w:r/>
    </w:p>
    <w:tbl>
      <w:tblPr>
        <w:tblStyle w:val="396"/>
        <w:tblW w:w="8983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983"/>
        <w:tblGridChange w:id="3">
          <w:tblGrid>
            <w:gridCol w:w="8983"/>
          </w:tblGrid>
        </w:tblGridChange>
      </w:tblGrid>
      <w:tr>
        <w:trPr>
          <w:trHeight w:val="3412"/>
        </w:trPr>
        <w:tc>
          <w:tcPr>
            <w:textDirection w:val="lrTb"/>
            <w:noWrap w:val="false"/>
          </w:tcPr>
          <w:p>
            <w:pPr>
              <w:jc w:val="both"/>
            </w:pPr>
            <w:r>
              <w:rPr>
                <w:rtl w:val="false"/>
              </w:rPr>
              <w:t xml:space="preserve">the narrators in both Salome and Stealing have had enough (“I’ve had enough of being ignored”)</w:t>
            </w:r>
            <w:r/>
          </w:p>
        </w:tc>
      </w:tr>
    </w:tbl>
    <w:p>
      <w:pPr>
        <w:jc w:val="both"/>
      </w:pPr>
      <w:r>
        <w:rPr>
          <w:rtl w:val="false"/>
        </w:rPr>
      </w:r>
      <w:r/>
    </w:p>
    <w:p>
      <w:pPr>
        <w:jc w:val="both"/>
        <w:rPr>
          <w:b/>
          <w:u w:val="single"/>
        </w:rPr>
      </w:pPr>
      <w:r>
        <w:rPr>
          <w:b/>
          <w:u w:val="single"/>
          <w:rtl w:val="false"/>
        </w:rPr>
        <w:t xml:space="preserve">Individual Oral</w:t>
      </w:r>
      <w:r/>
    </w:p>
    <w:p>
      <w:pPr>
        <w:jc w:val="both"/>
        <w:rPr>
          <w:b/>
          <w:u w:val="single"/>
        </w:rPr>
      </w:pPr>
      <w:r>
        <w:rPr>
          <w:rtl w:val="false"/>
        </w:rPr>
      </w:r>
      <w:r/>
    </w:p>
    <w:p>
      <w:pPr>
        <w:numPr>
          <w:ilvl w:val="0"/>
          <w:numId w:val="1"/>
        </w:numPr>
        <w:ind w:left="720" w:right="0" w:hanging="360"/>
        <w:jc w:val="both"/>
        <w:keepLines w:val="false"/>
        <w:keepNext w:val="false"/>
        <w:spacing w:lineRule="auto" w:line="240" w:after="0" w:before="0"/>
        <w:shd w:val="clear" w:color="auto" w:fill="auto"/>
        <w:widowControl/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Calibri" w:hAnsi="Calibri" w:cs="Calibri" w:eastAsia="Calibri"/>
          <w:b w:val="false"/>
          <w:i w:val="false"/>
          <w:smallCaps w:val="false"/>
          <w:strike w:val="false"/>
          <w:color w:val="000000"/>
          <w:sz w:val="24"/>
          <w:szCs w:val="24"/>
          <w:u w:val="none"/>
          <w:shd w:val="clear" w:color="auto" w:fill="auto"/>
          <w:vertAlign w:val="baseline"/>
          <w:rtl w:val="false"/>
        </w:rPr>
        <w:t xml:space="preserve">What extracts have you identified for potential Individual Oral purposes in this unit’s work(s) / text(s)?</w:t>
      </w:r>
      <w:r/>
    </w:p>
    <w:p>
      <w:pPr>
        <w:jc w:val="both"/>
      </w:pPr>
      <w:r>
        <w:rPr>
          <w:rtl w:val="false"/>
        </w:rPr>
      </w:r>
      <w:r/>
    </w:p>
    <w:tbl>
      <w:tblPr>
        <w:tblStyle w:val="397"/>
        <w:tblW w:w="8983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983"/>
        <w:tblGridChange w:id="4">
          <w:tblGrid>
            <w:gridCol w:w="8983"/>
          </w:tblGrid>
        </w:tblGridChange>
      </w:tblGrid>
      <w:tr>
        <w:trPr>
          <w:trHeight w:val="2206"/>
        </w:trPr>
        <w:tc>
          <w:tcPr>
            <w:textDirection w:val="lrTb"/>
            <w:noWrap w:val="false"/>
          </w:tcPr>
          <w:p>
            <w:pPr>
              <w:jc w:val="both"/>
            </w:pPr>
            <w:r>
              <w:rPr>
                <w:rtl w:val="false"/>
              </w:rPr>
            </w:r>
            <w:r/>
          </w:p>
        </w:tc>
      </w:tr>
    </w:tbl>
    <w:p>
      <w:pPr>
        <w:jc w:val="both"/>
      </w:pPr>
      <w:r>
        <w:rPr>
          <w:rtl w:val="false"/>
        </w:rPr>
      </w:r>
      <w:r/>
    </w:p>
    <w:p>
      <w:pPr>
        <w:jc w:val="both"/>
      </w:pPr>
      <w:r>
        <w:rPr>
          <w:rtl w:val="false"/>
        </w:rPr>
      </w:r>
      <w:r/>
    </w:p>
    <w:p>
      <w:pPr>
        <w:jc w:val="both"/>
        <w:rPr>
          <w:b/>
          <w:u w:val="single"/>
        </w:rPr>
      </w:pPr>
      <w:r>
        <w:rPr>
          <w:b/>
          <w:u w:val="single"/>
          <w:rtl w:val="false"/>
        </w:rPr>
        <w:t xml:space="preserve">Higher Level Essay</w:t>
      </w:r>
      <w:r/>
    </w:p>
    <w:p>
      <w:pPr>
        <w:jc w:val="both"/>
        <w:rPr>
          <w:b/>
          <w:u w:val="single"/>
        </w:rPr>
      </w:pPr>
      <w:r>
        <w:rPr>
          <w:rtl w:val="false"/>
        </w:rPr>
      </w:r>
      <w:r/>
    </w:p>
    <w:p>
      <w:pPr>
        <w:numPr>
          <w:ilvl w:val="0"/>
          <w:numId w:val="1"/>
        </w:numPr>
        <w:ind w:left="720" w:right="0" w:hanging="360"/>
        <w:jc w:val="both"/>
        <w:keepLines w:val="false"/>
        <w:keepNext w:val="false"/>
        <w:spacing w:lineRule="auto" w:line="240" w:after="0" w:before="0"/>
        <w:shd w:val="clear" w:color="auto" w:fill="auto"/>
        <w:widowControl/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/>
      <w:bookmarkStart w:id="0" w:name="_gjdgxs"/>
      <w:r/>
      <w:bookmarkEnd w:id="0"/>
      <w:r>
        <w:rPr>
          <w:rFonts w:ascii="Calibri" w:hAnsi="Calibri" w:cs="Calibri" w:eastAsia="Calibri"/>
          <w:b w:val="false"/>
          <w:i w:val="false"/>
          <w:smallCaps w:val="false"/>
          <w:strike w:val="false"/>
          <w:color w:val="000000"/>
          <w:sz w:val="24"/>
          <w:szCs w:val="24"/>
          <w:u w:val="none"/>
          <w:shd w:val="clear" w:color="auto" w:fill="auto"/>
          <w:vertAlign w:val="baseline"/>
          <w:rtl w:val="false"/>
        </w:rPr>
        <w:t xml:space="preserve">What topics have you identified for potential Higher-Level essay purposes in this unit’s work(s) / text(s)?</w:t>
      </w:r>
      <w:r/>
    </w:p>
    <w:p>
      <w:pPr>
        <w:jc w:val="both"/>
      </w:pPr>
      <w:r>
        <w:rPr>
          <w:rtl w:val="false"/>
        </w:rPr>
      </w:r>
      <w:r/>
    </w:p>
    <w:tbl>
      <w:tblPr>
        <w:tblStyle w:val="398"/>
        <w:tblW w:w="8930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930"/>
        <w:tblGridChange w:id="5">
          <w:tblGrid>
            <w:gridCol w:w="8930"/>
          </w:tblGrid>
        </w:tblGridChange>
      </w:tblGrid>
      <w:tr>
        <w:trPr>
          <w:trHeight w:val="2501"/>
        </w:trPr>
        <w:tc>
          <w:tcPr>
            <w:textDirection w:val="lrTb"/>
            <w:noWrap w:val="false"/>
          </w:tcPr>
          <w:p>
            <w:pPr>
              <w:jc w:val="both"/>
            </w:pPr>
            <w:r>
              <w:rPr>
                <w:rtl w:val="false"/>
              </w:rPr>
            </w:r>
            <w:r/>
          </w:p>
        </w:tc>
      </w:tr>
    </w:tbl>
    <w:p>
      <w:pPr>
        <w:jc w:val="both"/>
      </w:pPr>
      <w:r>
        <w:rPr>
          <w:rtl w:val="false"/>
        </w:rPr>
      </w:r>
      <w:r/>
    </w:p>
    <w:sectPr>
      <w:footnotePr/>
      <w:type w:val="nextPage"/>
      <w:pgSz w:w="11900" w:h="16840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panose1 w:val="020B0502040504020204"/>
  </w:font>
  <w:font w:name="Courier New">
    <w:panose1 w:val="02070309020205020404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 w:cs="Calibri" w:eastAsia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cs="Noto Sans Symbols" w:eastAsia="Noto Sans Symbol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 w:cs="Calibri" w:eastAsia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cs="Noto Sans Symbols" w:eastAsia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4"/>
        <w:szCs w:val="24"/>
        <w:lang w:val="en-GB" w:bidi="en-US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84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385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386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387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388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389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82"/>
    <w:next w:val="38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82"/>
    <w:next w:val="38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82"/>
    <w:next w:val="38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382"/>
    <w:qFormat/>
    <w:uiPriority w:val="34"/>
    <w:pPr>
      <w:contextualSpacing w:val="true"/>
      <w:ind w:left="720"/>
    </w:p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9"/>
    <w:link w:val="390"/>
    <w:uiPriority w:val="10"/>
    <w:rPr>
      <w:sz w:val="48"/>
      <w:szCs w:val="48"/>
    </w:rPr>
  </w:style>
  <w:style w:type="character" w:styleId="35">
    <w:name w:val="Subtitle Char"/>
    <w:basedOn w:val="9"/>
    <w:link w:val="391"/>
    <w:uiPriority w:val="11"/>
    <w:rPr>
      <w:sz w:val="24"/>
      <w:szCs w:val="24"/>
    </w:rPr>
  </w:style>
  <w:style w:type="paragraph" w:styleId="36">
    <w:name w:val="Quote"/>
    <w:basedOn w:val="382"/>
    <w:next w:val="38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82"/>
    <w:next w:val="382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82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382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382"/>
    <w:next w:val="38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8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toc 1"/>
    <w:basedOn w:val="382"/>
    <w:next w:val="38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82"/>
    <w:next w:val="38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82"/>
    <w:next w:val="38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82"/>
    <w:next w:val="38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82"/>
    <w:next w:val="38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82"/>
    <w:next w:val="38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82"/>
    <w:next w:val="38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82"/>
    <w:next w:val="38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82"/>
    <w:next w:val="38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82" w:default="1">
    <w:name w:val="Normal"/>
  </w:style>
  <w:style w:type="table" w:styleId="383" w:default="1">
    <w:name w:val="Table Normal"/>
    <w:tblPr/>
  </w:style>
  <w:style w:type="paragraph" w:styleId="384">
    <w:name w:val="Heading 1"/>
    <w:basedOn w:val="382"/>
    <w:next w:val="382"/>
    <w:rPr>
      <w:b/>
      <w:sz w:val="48"/>
      <w:szCs w:val="48"/>
    </w:rPr>
    <w:pPr>
      <w:keepLines/>
      <w:keepNext/>
      <w:spacing w:after="120" w:before="480"/>
    </w:pPr>
  </w:style>
  <w:style w:type="paragraph" w:styleId="385">
    <w:name w:val="Heading 2"/>
    <w:basedOn w:val="382"/>
    <w:next w:val="382"/>
    <w:rPr>
      <w:b/>
      <w:sz w:val="36"/>
      <w:szCs w:val="36"/>
    </w:rPr>
    <w:pPr>
      <w:keepLines/>
      <w:keepNext/>
      <w:spacing w:after="80" w:before="360"/>
    </w:pPr>
  </w:style>
  <w:style w:type="paragraph" w:styleId="386">
    <w:name w:val="Heading 3"/>
    <w:basedOn w:val="382"/>
    <w:next w:val="382"/>
    <w:rPr>
      <w:b/>
      <w:sz w:val="28"/>
      <w:szCs w:val="28"/>
    </w:rPr>
    <w:pPr>
      <w:keepLines/>
      <w:keepNext/>
      <w:spacing w:after="80" w:before="280"/>
    </w:pPr>
  </w:style>
  <w:style w:type="paragraph" w:styleId="387">
    <w:name w:val="Heading 4"/>
    <w:basedOn w:val="382"/>
    <w:next w:val="382"/>
    <w:rPr>
      <w:b/>
      <w:sz w:val="24"/>
      <w:szCs w:val="24"/>
    </w:rPr>
    <w:pPr>
      <w:keepLines/>
      <w:keepNext/>
      <w:spacing w:after="40" w:before="240"/>
    </w:pPr>
  </w:style>
  <w:style w:type="paragraph" w:styleId="388">
    <w:name w:val="Heading 5"/>
    <w:basedOn w:val="382"/>
    <w:next w:val="382"/>
    <w:rPr>
      <w:b/>
      <w:sz w:val="22"/>
      <w:szCs w:val="22"/>
    </w:rPr>
    <w:pPr>
      <w:keepLines/>
      <w:keepNext/>
      <w:spacing w:after="40" w:before="220"/>
    </w:pPr>
  </w:style>
  <w:style w:type="paragraph" w:styleId="389">
    <w:name w:val="Heading 6"/>
    <w:basedOn w:val="382"/>
    <w:next w:val="382"/>
    <w:rPr>
      <w:b/>
      <w:sz w:val="20"/>
      <w:szCs w:val="20"/>
    </w:rPr>
    <w:pPr>
      <w:keepLines/>
      <w:keepNext/>
      <w:spacing w:after="40" w:before="200"/>
    </w:pPr>
  </w:style>
  <w:style w:type="paragraph" w:styleId="390">
    <w:name w:val="Title"/>
    <w:basedOn w:val="382"/>
    <w:next w:val="382"/>
    <w:rPr>
      <w:b/>
      <w:sz w:val="72"/>
      <w:szCs w:val="72"/>
    </w:rPr>
    <w:pPr>
      <w:keepLines/>
      <w:keepNext/>
      <w:spacing w:after="120" w:before="480"/>
    </w:pPr>
  </w:style>
  <w:style w:type="paragraph" w:styleId="391">
    <w:name w:val="Subtitle"/>
    <w:basedOn w:val="382"/>
    <w:next w:val="382"/>
    <w:rPr>
      <w:rFonts w:ascii="Georgia" w:hAnsi="Georgia" w:cs="Georgia" w:eastAsia="Georgia"/>
      <w:i/>
      <w:color w:val="666666"/>
      <w:sz w:val="48"/>
      <w:szCs w:val="48"/>
    </w:rPr>
    <w:pPr>
      <w:keepLines/>
      <w:keepNext/>
      <w:spacing w:after="80" w:before="360"/>
    </w:pPr>
  </w:style>
  <w:style w:type="table" w:styleId="392">
    <w:name w:val="StGen0"/>
    <w:basedOn w:val="383"/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393">
    <w:name w:val="StGen1"/>
    <w:basedOn w:val="383"/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394">
    <w:name w:val="StGen2"/>
    <w:basedOn w:val="383"/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395">
    <w:name w:val="StGen3"/>
    <w:basedOn w:val="383"/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396">
    <w:name w:val="StGen4"/>
    <w:basedOn w:val="383"/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397">
    <w:name w:val="StGen5"/>
    <w:basedOn w:val="383"/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398">
    <w:name w:val="StGen6"/>
    <w:basedOn w:val="383"/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character" w:styleId="655" w:default="1">
    <w:name w:val="Default Paragraph Font"/>
    <w:uiPriority w:val="1"/>
    <w:semiHidden/>
    <w:unhideWhenUsed/>
  </w:style>
  <w:style w:type="numbering" w:styleId="656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ONLYOFFICE/5.6.4.20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