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Ismael</w:t>
      </w:r>
      <w:r>
        <w:t xml:space="preserve"> </w:t>
      </w:r>
      <w:r>
        <w:t xml:space="preserve">Marchi</w:t>
      </w:r>
    </w:p>
    <w:bookmarkStart w:id="29" w:name="synapse-layer-memory-skill"/>
    <w:p>
      <w:pPr>
        <w:pStyle w:val="Heading1"/>
      </w:pPr>
      <w:r>
        <w:t xml:space="preserve">Synapse Layer — Memory Skill</w:t>
      </w:r>
    </w:p>
    <w:p>
      <w:pPr>
        <w:pStyle w:val="BlockText"/>
      </w:pPr>
      <w:r>
        <w:t xml:space="preserve">RAG retrieves. Synapse remembers.</w:t>
      </w:r>
    </w:p>
    <w:bookmarkStart w:id="20" w:name="what-this-does"/>
    <w:p>
      <w:pPr>
        <w:pStyle w:val="Heading2"/>
      </w:pPr>
      <w:r>
        <w:t xml:space="preserve">What This Does</w:t>
      </w:r>
    </w:p>
    <w:p>
      <w:pPr>
        <w:pStyle w:val="FirstParagraph"/>
      </w:pPr>
      <w:r>
        <w:t xml:space="preserve">Synapse Layer is a persistent memory infrastructure for AI agents. It solves</w:t>
      </w:r>
      <w:r>
        <w:t xml:space="preserve"> </w:t>
      </w:r>
      <w:r>
        <w:t xml:space="preserve">the stateless-agent problem: agents forget decisions, preferences, and context</w:t>
      </w:r>
      <w:r>
        <w:t xml:space="preserve"> </w:t>
      </w:r>
      <w:r>
        <w:t xml:space="preserve">across sessions. With Synapse, any MCP-compatible agent can store and recall</w:t>
      </w:r>
      <w:r>
        <w:t xml:space="preserve"> </w:t>
      </w:r>
      <w:r>
        <w:t xml:space="preserve">memories — AES-256-GCM encrypted at rest, scored by Trust Quotient for</w:t>
      </w:r>
      <w:r>
        <w:t xml:space="preserve"> </w:t>
      </w:r>
      <w:r>
        <w:t xml:space="preserve">reliability, and scoped per-user with tenant isolation. One agent stores,</w:t>
      </w:r>
      <w:r>
        <w:t xml:space="preserve"> </w:t>
      </w:r>
      <w:r>
        <w:t xml:space="preserve">another recalls. Memory survives across sessions, models, and tools.</w:t>
      </w:r>
    </w:p>
    <w:p>
      <w:pPr>
        <w:pStyle w:val="BodyText"/>
      </w:pPr>
      <w:r>
        <w:rPr>
          <w:bCs/>
          <w:b/>
        </w:rPr>
        <w:t xml:space="preserve">Category</w:t>
      </w:r>
      <w:r>
        <w:t xml:space="preserve">: OAuth for AI Memory — State Continuity Layer.</w:t>
      </w:r>
    </w:p>
    <w:bookmarkEnd w:id="20"/>
    <w:bookmarkStart w:id="21" w:name="agent-rules"/>
    <w:p>
      <w:pPr>
        <w:pStyle w:val="Heading2"/>
      </w:pPr>
      <w:r>
        <w:t xml:space="preserve">Agent Rules</w:t>
      </w:r>
    </w:p>
    <w:p>
      <w:pPr>
        <w:pStyle w:val="FirstParagraph"/>
      </w:pPr>
      <w:r>
        <w:rPr>
          <w:bCs/>
          <w:b/>
        </w:rPr>
        <w:t xml:space="preserve">MUST: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after each interaction that contains a decision, preference, or constraint worth persisting.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recall()</w:t>
      </w:r>
      <w:r>
        <w:t xml:space="preserve"> </w:t>
      </w:r>
      <w:r>
        <w:t xml:space="preserve">before responding when the user references prior context, preferences, or past work.</w:t>
      </w:r>
      <w:r>
        <w:t xml:space="preserve"> </w:t>
      </w:r>
      <w:r>
        <w:t xml:space="preserve">- Filter recall results by</w:t>
      </w:r>
      <w:r>
        <w:t xml:space="preserve"> </w:t>
      </w:r>
      <w:r>
        <w:rPr>
          <w:rStyle w:val="VerbatimChar"/>
        </w:rPr>
        <w:t xml:space="preserve">tq &gt;= 0.7</w:t>
      </w:r>
      <w:r>
        <w:t xml:space="preserve"> </w:t>
      </w:r>
      <w:r>
        <w:t xml:space="preserve">when high confidence is required.</w:t>
      </w:r>
      <w:r>
        <w:t xml:space="preserve"> </w:t>
      </w:r>
      <w:r>
        <w:t xml:space="preserve">- Include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identifier on every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call for cross-agent traceability.</w:t>
      </w:r>
    </w:p>
    <w:p>
      <w:pPr>
        <w:pStyle w:val="BodyText"/>
      </w:pPr>
      <w:r>
        <w:rPr>
          <w:bCs/>
          <w:b/>
        </w:rPr>
        <w:t xml:space="preserve">MUST NOT:</w:t>
      </w:r>
      <w:r>
        <w:t xml:space="preserve"> </w:t>
      </w:r>
      <w:r>
        <w:t xml:space="preserve">- Store PII without explicit user consent.</w:t>
      </w:r>
      <w:r>
        <w:t xml:space="preserve"> </w:t>
      </w:r>
      <w:r>
        <w:t xml:space="preserve">- Assume a memory exists without calling</w:t>
      </w:r>
      <w:r>
        <w:t xml:space="preserve"> </w:t>
      </w:r>
      <w:r>
        <w:rPr>
          <w:rStyle w:val="VerbatimChar"/>
        </w:rPr>
        <w:t xml:space="preserve">recall()</w:t>
      </w:r>
      <w:r>
        <w:t xml:space="preserve"> </w:t>
      </w:r>
      <w:r>
        <w:t xml:space="preserve">first.</w:t>
      </w:r>
      <w:r>
        <w:t xml:space="preserve"> </w:t>
      </w:r>
      <w:r>
        <w:t xml:space="preserve">- Expose raw memory content in logs or error messages.</w:t>
      </w:r>
      <w:r>
        <w:t xml:space="preserve"> </w:t>
      </w:r>
      <w:r>
        <w:t xml:space="preserve">- Store ephemeral or throwaway content (e.g.,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thanks</w:t>
      </w:r>
      <w:r>
        <w:t xml:space="preserve">”</w:t>
      </w:r>
      <w:r>
        <w:t xml:space="preserve">).</w:t>
      </w:r>
    </w:p>
    <w:bookmarkEnd w:id="21"/>
    <w:bookmarkStart w:id="22" w:name="trust-quotient-tq"/>
    <w:p>
      <w:pPr>
        <w:pStyle w:val="Heading2"/>
      </w:pPr>
      <w:r>
        <w:t xml:space="preserve">Trust Quotient (TQ)</w:t>
      </w:r>
    </w:p>
    <w:p>
      <w:pPr>
        <w:pStyle w:val="FirstParagraph"/>
      </w:pPr>
      <w:r>
        <w:t xml:space="preserve">Trust Quotient is a per-memory confidence score ranging from 0.0 to 1.0.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it measures</w:t>
      </w:r>
      <w:r>
        <w:t xml:space="preserve">: Reliability of a memory based on content density,</w:t>
      </w:r>
      <w:r>
        <w:t xml:space="preserve"> </w:t>
      </w:r>
      <w:r>
        <w:t xml:space="preserve">semantic alignment with recall queries, and noise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use</w:t>
      </w:r>
      <w:r>
        <w:t xml:space="preserve">: Filter recall results by</w:t>
      </w:r>
      <w:r>
        <w:t xml:space="preserve"> </w:t>
      </w:r>
      <w:r>
        <w:rPr>
          <w:rStyle w:val="VerbatimChar"/>
        </w:rPr>
        <w:t xml:space="preserve">tq &gt;= 0.7</w:t>
      </w:r>
      <w:r>
        <w:t xml:space="preserve"> </w:t>
      </w:r>
      <w:r>
        <w:t xml:space="preserve">for high-confidence</w:t>
      </w:r>
      <w:r>
        <w:t xml:space="preserve"> </w:t>
      </w:r>
      <w:r>
        <w:t xml:space="preserve">decisions. Use</w:t>
      </w:r>
      <w:r>
        <w:t xml:space="preserve"> </w:t>
      </w:r>
      <w:r>
        <w:rPr>
          <w:rStyle w:val="VerbatimChar"/>
        </w:rPr>
        <w:t xml:space="preserve">tq &gt;= 0.5</w:t>
      </w:r>
      <w:r>
        <w:t xml:space="preserve"> </w:t>
      </w:r>
      <w:r>
        <w:t xml:space="preserve">for general context. Memories below 0.3 may</w:t>
      </w:r>
      <w:r>
        <w:t xml:space="preserve"> </w:t>
      </w:r>
      <w:r>
        <w:t xml:space="preserve">contain noise or low-relevance content.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Scoring</w:t>
      </w:r>
      <w:r>
        <w:t xml:space="preserve">: TQ = f(density, alignment, noise). Weights are proprietary</w:t>
      </w:r>
      <w:r>
        <w:t xml:space="preserve"> </w:t>
      </w:r>
      <w:r>
        <w:t xml:space="preserve">and dynamically calibrated.</w:t>
      </w:r>
    </w:p>
    <w:bookmarkEnd w:id="22"/>
    <w:bookmarkStart w:id="23" w:name="multi-llm-compatibility"/>
    <w:p>
      <w:pPr>
        <w:pStyle w:val="Heading2"/>
      </w:pPr>
      <w:r>
        <w:t xml:space="preserve">Multi-LLM Compatibility</w:t>
      </w:r>
    </w:p>
    <w:p>
      <w:pPr>
        <w:pStyle w:val="FirstParagraph"/>
      </w:pPr>
      <w:r>
        <w:t xml:space="preserve">Synapse Layer works with any MCP-compatible client: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Claude</w:t>
      </w:r>
      <w:r>
        <w:t xml:space="preserve"> </w:t>
      </w:r>
      <w:r>
        <w:t xml:space="preserve">(Desktop + API) — native MCP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GPT-4 / GPT-4o</w:t>
      </w:r>
      <w:r>
        <w:t xml:space="preserve"> </w:t>
      </w:r>
      <w:r>
        <w:t xml:space="preserve">— via Synapse Proxy (OpenAI SDK compatible)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Gemini</w:t>
      </w:r>
      <w:r>
        <w:t xml:space="preserve"> </w:t>
      </w:r>
      <w:r>
        <w:t xml:space="preserve">— via MCP bridge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Llama / Mistral / local models</w:t>
      </w:r>
      <w:r>
        <w:t xml:space="preserve"> </w:t>
      </w:r>
      <w:r>
        <w:t xml:space="preserve">— via MCP stdio bridge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LangChain / CrewAI / AutoGen</w:t>
      </w:r>
      <w:r>
        <w:t xml:space="preserve"> </w:t>
      </w:r>
      <w:r>
        <w:t xml:space="preserve">— via Python SDK adapters</w:t>
      </w:r>
    </w:p>
    <w:bookmarkEnd w:id="23"/>
    <w:bookmarkStart w:id="28" w:name="links"/>
    <w:p>
      <w:pPr>
        <w:pStyle w:val="Heading2"/>
      </w:pPr>
      <w:r>
        <w:t xml:space="preserve">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Forge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forge.synapselayer.org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Docs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forge.synapselayer.org/docs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SDK (Python)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pypi.org/project/synapse-layer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</w:t>
      </w:r>
      <w:r>
        <w:t xml:space="preserve">:</w:t>
      </w:r>
      <w:r>
        <w:t xml:space="preserve"> </w:t>
      </w:r>
      <w:hyperlink r:id="rId27">
        <w:r>
          <w:rPr>
            <w:rStyle w:val="Hyperlink"/>
          </w:rPr>
          <w:t xml:space="preserve">github.com/SynapseLayer</w:t>
        </w:r>
      </w:hyperlink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forge.synapselayer.org" TargetMode="External" /><Relationship Type="http://schemas.openxmlformats.org/officeDocument/2006/relationships/hyperlink" Id="rId25" Target="https://forge.synapselayer.org/docs" TargetMode="External" /><Relationship Type="http://schemas.openxmlformats.org/officeDocument/2006/relationships/hyperlink" Id="rId27" Target="https://github.com/SynapseLayer" TargetMode="External" /><Relationship Type="http://schemas.openxmlformats.org/officeDocument/2006/relationships/hyperlink" Id="rId26" Target="https://pypi.org/project/synapse-lay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forge.synapselayer.org" TargetMode="External" /><Relationship Type="http://schemas.openxmlformats.org/officeDocument/2006/relationships/hyperlink" Id="rId25" Target="https://forge.synapselayer.org/docs" TargetMode="External" /><Relationship Type="http://schemas.openxmlformats.org/officeDocument/2006/relationships/hyperlink" Id="rId27" Target="https://github.com/SynapseLayer" TargetMode="External" /><Relationship Type="http://schemas.openxmlformats.org/officeDocument/2006/relationships/hyperlink" Id="rId26" Target="https://pypi.org/project/synapse-lay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Ismael Marchi</dc:creator>
  <dc:description>Persistent memory skill for AI agents. Remembers preferences, brand voice and decisions with Trust Quotient scoring.</dc:description>
  <cp:keywords/>
  <dcterms:created xsi:type="dcterms:W3CDTF">2026-05-05T19:12:29Z</dcterms:created>
  <dcterms:modified xsi:type="dcterms:W3CDTF">2026-05-05T19:12:29Z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synapse-layer</vt:lpwstr>
  </property>
  <property fmtid="{D5CDD505-2E9C-101B-9397-08002B2CF9AE}" pid="3" name="tags">
    <vt:lpwstr/>
  </property>
  <property fmtid="{D5CDD505-2E9C-101B-9397-08002B2CF9AE}" pid="4" name="version">
    <vt:lpwstr>2.3.7</vt:lpwstr>
  </property>
</Properties>
</file>