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ynapse-layer-memory-skill-v2.3.1"/>
    <w:p>
      <w:pPr>
        <w:pStyle w:val="Heading1"/>
      </w:pPr>
      <w:r>
        <w:t xml:space="preserve">Synapse Layer — Memory Skill v2.3.1</w:t>
      </w:r>
    </w:p>
    <w:bookmarkStart w:id="20" w:name="identity"/>
    <w:p>
      <w:pPr>
        <w:pStyle w:val="Heading2"/>
      </w:pPr>
      <w:r>
        <w:t xml:space="preserve">Identity</w:t>
      </w:r>
    </w:p>
    <w:p>
      <w:pPr>
        <w:pStyle w:val="FirstParagraph"/>
      </w:pPr>
      <w:r>
        <w:t xml:space="preserve">Synapse Layer is the persistent memory layer for AI agents.</w:t>
      </w:r>
    </w:p>
    <w:p>
      <w:pPr>
        <w:pStyle w:val="BodyText"/>
      </w:pPr>
      <w:r>
        <w:t xml:space="preserve">It solves the stateless-agent problem: agents forget decisions,</w:t>
      </w:r>
      <w:r>
        <w:t xml:space="preserve"> </w:t>
      </w:r>
      <w:r>
        <w:t xml:space="preserve">preferences, constraints, and prior work across sessions and tools.</w:t>
      </w:r>
    </w:p>
    <w:p>
      <w:pPr>
        <w:numPr>
          <w:ilvl w:val="0"/>
          <w:numId w:val="1001"/>
        </w:numPr>
        <w:pStyle w:val="Compact"/>
      </w:pPr>
      <w:r>
        <w:t xml:space="preserve">Core guarantee: server never sees plaintext.</w:t>
      </w:r>
    </w:p>
    <w:p>
      <w:pPr>
        <w:numPr>
          <w:ilvl w:val="0"/>
          <w:numId w:val="1001"/>
        </w:numPr>
        <w:pStyle w:val="Compact"/>
      </w:pPr>
      <w:r>
        <w:t xml:space="preserve">Trust model: TRUTH QUOTIENT™ scores memories from 0.0 to 1.0.</w:t>
      </w:r>
    </w:p>
    <w:p>
      <w:pPr>
        <w:numPr>
          <w:ilvl w:val="0"/>
          <w:numId w:val="1001"/>
        </w:numPr>
        <w:pStyle w:val="Compact"/>
      </w:pPr>
      <w:r>
        <w:t xml:space="preserve">Scope: cross-agent memory — save in one client, recall in another.</w:t>
      </w:r>
    </w:p>
    <w:p>
      <w:pPr>
        <w:numPr>
          <w:ilvl w:val="0"/>
          <w:numId w:val="1001"/>
        </w:numPr>
        <w:pStyle w:val="Compact"/>
      </w:pPr>
      <w:r>
        <w:t xml:space="preserve">Category: State Continuity Layer | OAuth for AI Memory.</w:t>
      </w:r>
    </w:p>
    <w:bookmarkEnd w:id="20"/>
    <w:bookmarkStart w:id="21" w:name="activation-rules"/>
    <w:p>
      <w:pPr>
        <w:pStyle w:val="Heading2"/>
      </w:pPr>
      <w:r>
        <w:t xml:space="preserve">Activation Rules</w:t>
      </w:r>
    </w:p>
    <w:p>
      <w:pPr>
        <w:pStyle w:val="FirstParagraph"/>
      </w:pPr>
      <w:r>
        <w:t xml:space="preserve">Always attempt recall before responding when context may exist.</w:t>
      </w:r>
    </w:p>
    <w:p>
      <w:pPr>
        <w:pStyle w:val="BodyText"/>
      </w:pPr>
      <w:r>
        <w:t xml:space="preserve">Activate recall when:</w:t>
      </w:r>
    </w:p>
    <w:p>
      <w:pPr>
        <w:numPr>
          <w:ilvl w:val="0"/>
          <w:numId w:val="1002"/>
        </w:numPr>
        <w:pStyle w:val="Compact"/>
      </w:pPr>
      <w:r>
        <w:t xml:space="preserve">The user references prior decisions, preferences, or context.</w:t>
      </w:r>
    </w:p>
    <w:p>
      <w:pPr>
        <w:numPr>
          <w:ilvl w:val="0"/>
          <w:numId w:val="1002"/>
        </w:numPr>
        <w:pStyle w:val="Compact"/>
      </w:pPr>
      <w:r>
        <w:t xml:space="preserve">The task continues a previous project, workflow, or session.</w:t>
      </w:r>
    </w:p>
    <w:p>
      <w:pPr>
        <w:numPr>
          <w:ilvl w:val="0"/>
          <w:numId w:val="1002"/>
        </w:numPr>
        <w:pStyle w:val="Compact"/>
      </w:pPr>
      <w:r>
        <w:t xml:space="preserve">The user switches from another AI tool and expects continuity.</w:t>
      </w:r>
    </w:p>
    <w:p>
      <w:pPr>
        <w:numPr>
          <w:ilvl w:val="0"/>
          <w:numId w:val="1002"/>
        </w:numPr>
        <w:pStyle w:val="Compact"/>
      </w:pPr>
      <w:r>
        <w:t xml:space="preserve">The user says:</w:t>
      </w:r>
      <w:r>
        <w:t xml:space="preserve"> </w:t>
      </w:r>
      <w:r>
        <w:t xml:space="preserve">“</w:t>
      </w:r>
      <w:r>
        <w:t xml:space="preserve">what we discussed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my preferences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last time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remember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as I told you</w:t>
      </w:r>
      <w:r>
        <w:t xml:space="preserve">”</w:t>
      </w:r>
      <w:r>
        <w:t xml:space="preserve">, or similar.</w:t>
      </w:r>
    </w:p>
    <w:p>
      <w:pPr>
        <w:numPr>
          <w:ilvl w:val="0"/>
          <w:numId w:val="1002"/>
        </w:numPr>
        <w:pStyle w:val="Compact"/>
      </w:pPr>
      <w:r>
        <w:t xml:space="preserve">The user mentions their name, role, project, stack, or constraints.</w:t>
      </w:r>
    </w:p>
    <w:p>
      <w:pPr>
        <w:pStyle w:val="FirstParagraph"/>
      </w:pPr>
      <w:r>
        <w:t xml:space="preserve">Save memory after:</w:t>
      </w:r>
    </w:p>
    <w:p>
      <w:pPr>
        <w:numPr>
          <w:ilvl w:val="0"/>
          <w:numId w:val="1003"/>
        </w:numPr>
        <w:pStyle w:val="Compact"/>
      </w:pPr>
      <w:r>
        <w:t xml:space="preserve">A decision, milestone, or commitment is made.</w:t>
      </w:r>
    </w:p>
    <w:p>
      <w:pPr>
        <w:numPr>
          <w:ilvl w:val="0"/>
          <w:numId w:val="1003"/>
        </w:numPr>
        <w:pStyle w:val="Compact"/>
      </w:pPr>
      <w:r>
        <w:t xml:space="preserve">The user reveals a stable preference or constraint.</w:t>
      </w:r>
    </w:p>
    <w:p>
      <w:pPr>
        <w:numPr>
          <w:ilvl w:val="0"/>
          <w:numId w:val="1003"/>
        </w:numPr>
        <w:pStyle w:val="Compact"/>
      </w:pPr>
      <w:r>
        <w:t xml:space="preserve">A task is completed.</w:t>
      </w:r>
    </w:p>
    <w:p>
      <w:pPr>
        <w:numPr>
          <w:ilvl w:val="0"/>
          <w:numId w:val="1003"/>
        </w:numPr>
        <w:pStyle w:val="Compact"/>
      </w:pPr>
      <w:r>
        <w:t xml:space="preserve">The user corrects the agent.</w:t>
      </w:r>
    </w:p>
    <w:p>
      <w:pPr>
        <w:numPr>
          <w:ilvl w:val="0"/>
          <w:numId w:val="1003"/>
        </w:numPr>
        <w:pStyle w:val="Compact"/>
      </w:pPr>
      <w:r>
        <w:t xml:space="preserve">A new project-specific rule is established.</w:t>
      </w:r>
    </w:p>
    <w:p>
      <w:pPr>
        <w:pStyle w:val="FirstParagraph"/>
      </w:pPr>
      <w:r>
        <w:t xml:space="preserve">Never save:</w:t>
      </w:r>
    </w:p>
    <w:p>
      <w:pPr>
        <w:numPr>
          <w:ilvl w:val="0"/>
          <w:numId w:val="1004"/>
        </w:numPr>
        <w:pStyle w:val="Compact"/>
      </w:pPr>
      <w:r>
        <w:t xml:space="preserve">Passwords, API keys, tokens, credentials, or secrets.</w:t>
      </w:r>
    </w:p>
    <w:p>
      <w:pPr>
        <w:numPr>
          <w:ilvl w:val="0"/>
          <w:numId w:val="1004"/>
        </w:numPr>
        <w:pStyle w:val="Compact"/>
      </w:pPr>
      <w:r>
        <w:t xml:space="preserve">Raw financial data or card numbers.</w:t>
      </w:r>
    </w:p>
    <w:p>
      <w:pPr>
        <w:numPr>
          <w:ilvl w:val="0"/>
          <w:numId w:val="1004"/>
        </w:numPr>
        <w:pStyle w:val="Compact"/>
      </w:pPr>
      <w:r>
        <w:t xml:space="preserve">Sensitive health data.</w:t>
      </w:r>
    </w:p>
    <w:p>
      <w:pPr>
        <w:numPr>
          <w:ilvl w:val="0"/>
          <w:numId w:val="1004"/>
        </w:numPr>
        <w:pStyle w:val="Compact"/>
      </w:pPr>
      <w:r>
        <w:t xml:space="preserve">Anything the user explicitly says not to store.</w:t>
      </w:r>
    </w:p>
    <w:bookmarkEnd w:id="21"/>
    <w:bookmarkStart w:id="27" w:name="tools"/>
    <w:p>
      <w:pPr>
        <w:pStyle w:val="Heading2"/>
      </w:pPr>
      <w:r>
        <w:t xml:space="preserve">Tools</w:t>
      </w:r>
    </w:p>
    <w:bookmarkStart w:id="22" w:name="recall"/>
    <w:p>
      <w:pPr>
        <w:pStyle w:val="Heading3"/>
      </w:pPr>
      <w:r>
        <w:t xml:space="preserve">recall</w:t>
      </w:r>
    </w:p>
    <w:p>
      <w:pPr>
        <w:pStyle w:val="FirstParagraph"/>
      </w:pPr>
      <w:r>
        <w:t xml:space="preserve">Retrieves past context, decisions, and preferences from encrypted memory.</w:t>
      </w:r>
      <w:r>
        <w:t xml:space="preserve"> </w:t>
      </w:r>
      <w:r>
        <w:t xml:space="preserve">Use before responding when prior context may exist.</w:t>
      </w:r>
    </w:p>
    <w:p>
      <w:pPr>
        <w:pStyle w:val="BodyText"/>
      </w:pPr>
      <w:r>
        <w:t xml:space="preserve">Input:</w:t>
      </w:r>
    </w:p>
    <w:p>
      <w:pPr>
        <w:numPr>
          <w:ilvl w:val="0"/>
          <w:numId w:val="1005"/>
        </w:numPr>
        <w:pStyle w:val="Compact"/>
      </w:pPr>
      <w:r>
        <w:t xml:space="preserve">query (string, required)</w:t>
      </w:r>
    </w:p>
    <w:p>
      <w:pPr>
        <w:numPr>
          <w:ilvl w:val="0"/>
          <w:numId w:val="1005"/>
        </w:numPr>
        <w:pStyle w:val="Compact"/>
      </w:pPr>
      <w:r>
        <w:t xml:space="preserve">agent_id (string, optional)</w:t>
      </w:r>
    </w:p>
    <w:p>
      <w:pPr>
        <w:numPr>
          <w:ilvl w:val="0"/>
          <w:numId w:val="1005"/>
        </w:numPr>
        <w:pStyle w:val="Compact"/>
      </w:pPr>
      <w:r>
        <w:t xml:space="preserve">limit (number, optional, default 10, max 50)</w:t>
      </w:r>
    </w:p>
    <w:p>
      <w:pPr>
        <w:pStyle w:val="FirstParagraph"/>
      </w:pPr>
      <w:r>
        <w:t xml:space="preserve">Output: memories with content and TRUTH QUOTIENT™ score.</w:t>
      </w:r>
    </w:p>
    <w:p>
      <w:pPr>
        <w:pStyle w:val="BodyText"/>
      </w:pPr>
      <w:r>
        <w:t xml:space="preserve">TQ interpretation:</w:t>
      </w:r>
    </w:p>
    <w:p>
      <w:pPr>
        <w:numPr>
          <w:ilvl w:val="0"/>
          <w:numId w:val="1006"/>
        </w:numPr>
        <w:pStyle w:val="Compact"/>
      </w:pPr>
      <w:r>
        <w:t xml:space="preserve">TQ &gt;= 0.80: high confidence — use directly.</w:t>
      </w:r>
    </w:p>
    <w:p>
      <w:pPr>
        <w:numPr>
          <w:ilvl w:val="0"/>
          <w:numId w:val="1006"/>
        </w:numPr>
        <w:pStyle w:val="Compact"/>
      </w:pPr>
      <w:r>
        <w:t xml:space="preserve">TQ &gt;= 0.50 and &lt; 0.80: medium confidence — use with caveat.</w:t>
      </w:r>
    </w:p>
    <w:p>
      <w:pPr>
        <w:numPr>
          <w:ilvl w:val="0"/>
          <w:numId w:val="1006"/>
        </w:numPr>
        <w:pStyle w:val="Compact"/>
      </w:pPr>
      <w:r>
        <w:t xml:space="preserve">TQ &lt; 0.50: low confidence — verify with the user.</w:t>
      </w:r>
    </w:p>
    <w:p>
      <w:pPr>
        <w:pStyle w:val="FirstParagraph"/>
      </w:pPr>
      <w:r>
        <w:rPr>
          <w:bCs/>
          <w:b/>
        </w:rPr>
        <w:t xml:space="preserve">If recall fails or returns no results, do not hallucinate past context.</w:t>
      </w:r>
      <w:r>
        <w:rPr>
          <w:bCs/>
          <w:b/>
        </w:rPr>
        <w:t xml:space="preserve"> </w:t>
      </w:r>
      <w:r>
        <w:rPr>
          <w:bCs/>
          <w:b/>
        </w:rPr>
        <w:t xml:space="preserve">Acknowledge the lack of prior memory and proceed with current information only.</w:t>
      </w:r>
    </w:p>
    <w:bookmarkEnd w:id="22"/>
    <w:bookmarkStart w:id="23" w:name="save_to_synapse"/>
    <w:p>
      <w:pPr>
        <w:pStyle w:val="Heading3"/>
      </w:pPr>
      <w:r>
        <w:t xml:space="preserve">save_to_synapse</w:t>
      </w:r>
    </w:p>
    <w:p>
      <w:pPr>
        <w:pStyle w:val="FirstParagraph"/>
      </w:pPr>
      <w:r>
        <w:t xml:space="preserve">Persists facts, preferences, decisions, and project state.</w:t>
      </w:r>
      <w:r>
        <w:t xml:space="preserve"> </w:t>
      </w:r>
      <w:r>
        <w:t xml:space="preserve">Use after new stable information emerges.</w:t>
      </w:r>
    </w:p>
    <w:p>
      <w:pPr>
        <w:pStyle w:val="BodyText"/>
      </w:pPr>
      <w:r>
        <w:t xml:space="preserve">Input:</w:t>
      </w:r>
    </w:p>
    <w:p>
      <w:pPr>
        <w:numPr>
          <w:ilvl w:val="0"/>
          <w:numId w:val="1007"/>
        </w:numPr>
        <w:pStyle w:val="Compact"/>
      </w:pPr>
      <w:r>
        <w:t xml:space="preserve">content (string, required)</w:t>
      </w:r>
    </w:p>
    <w:p>
      <w:pPr>
        <w:numPr>
          <w:ilvl w:val="0"/>
          <w:numId w:val="1007"/>
        </w:numPr>
        <w:pStyle w:val="Compact"/>
      </w:pPr>
      <w:r>
        <w:t xml:space="preserve">agent_id (string, optional)</w:t>
      </w:r>
    </w:p>
    <w:p>
      <w:pPr>
        <w:pStyle w:val="FirstParagraph"/>
      </w:pPr>
      <w:r>
        <w:t xml:space="preserve">Output: storage confirmation.</w:t>
      </w:r>
    </w:p>
    <w:bookmarkEnd w:id="23"/>
    <w:bookmarkStart w:id="24" w:name="process_text"/>
    <w:p>
      <w:pPr>
        <w:pStyle w:val="Heading3"/>
      </w:pPr>
      <w:r>
        <w:t xml:space="preserve">process_text</w:t>
      </w:r>
    </w:p>
    <w:p>
      <w:pPr>
        <w:pStyle w:val="FirstParagraph"/>
      </w:pPr>
      <w:r>
        <w:t xml:space="preserve">Extracts durable memories from long text, specs, notes, or conversations.</w:t>
      </w:r>
      <w:r>
        <w:t xml:space="preserve"> </w:t>
      </w:r>
      <w:r>
        <w:t xml:space="preserve">Use when the user provides long-form context to preserve.</w:t>
      </w:r>
    </w:p>
    <w:p>
      <w:pPr>
        <w:pStyle w:val="BodyText"/>
      </w:pPr>
      <w:r>
        <w:t xml:space="preserve">Input:</w:t>
      </w:r>
    </w:p>
    <w:p>
      <w:pPr>
        <w:numPr>
          <w:ilvl w:val="0"/>
          <w:numId w:val="1008"/>
        </w:numPr>
        <w:pStyle w:val="Compact"/>
      </w:pPr>
      <w:r>
        <w:t xml:space="preserve">text (string, required)</w:t>
      </w:r>
    </w:p>
    <w:p>
      <w:pPr>
        <w:numPr>
          <w:ilvl w:val="0"/>
          <w:numId w:val="1008"/>
        </w:numPr>
        <w:pStyle w:val="Compact"/>
      </w:pPr>
      <w:r>
        <w:t xml:space="preserve">agent_id (string, optional)</w:t>
      </w:r>
    </w:p>
    <w:p>
      <w:pPr>
        <w:pStyle w:val="FirstParagraph"/>
      </w:pPr>
      <w:r>
        <w:t xml:space="preserve">Output: extracted memory candidates and storage result.</w:t>
      </w:r>
    </w:p>
    <w:bookmarkEnd w:id="24"/>
    <w:bookmarkStart w:id="25" w:name="search"/>
    <w:p>
      <w:pPr>
        <w:pStyle w:val="Heading3"/>
      </w:pPr>
      <w:r>
        <w:t xml:space="preserve">search</w:t>
      </w:r>
    </w:p>
    <w:p>
      <w:pPr>
        <w:pStyle w:val="FirstParagraph"/>
      </w:pPr>
      <w:r>
        <w:t xml:space="preserve">Searches cross-agent memory with governed recall and TRUTH QUOTIENT™ ranking.</w:t>
      </w:r>
      <w:r>
        <w:t xml:space="preserve"> </w:t>
      </w:r>
      <w:r>
        <w:t xml:space="preserve">Use when recall returns insufficient results or user asks for broad search.</w:t>
      </w:r>
    </w:p>
    <w:p>
      <w:pPr>
        <w:pStyle w:val="BodyText"/>
      </w:pPr>
      <w:r>
        <w:t xml:space="preserve">Input:</w:t>
      </w:r>
    </w:p>
    <w:p>
      <w:pPr>
        <w:numPr>
          <w:ilvl w:val="0"/>
          <w:numId w:val="1009"/>
        </w:numPr>
        <w:pStyle w:val="Compact"/>
      </w:pPr>
      <w:r>
        <w:t xml:space="preserve">query (string, required)</w:t>
      </w:r>
    </w:p>
    <w:p>
      <w:pPr>
        <w:numPr>
          <w:ilvl w:val="0"/>
          <w:numId w:val="1009"/>
        </w:numPr>
        <w:pStyle w:val="Compact"/>
      </w:pPr>
      <w:r>
        <w:t xml:space="preserve">agent_id (string, optional)</w:t>
      </w:r>
    </w:p>
    <w:p>
      <w:pPr>
        <w:numPr>
          <w:ilvl w:val="0"/>
          <w:numId w:val="1009"/>
        </w:numPr>
        <w:pStyle w:val="Compact"/>
      </w:pPr>
      <w:r>
        <w:t xml:space="preserve">limit (number, optional, default 20, max 50)</w:t>
      </w:r>
    </w:p>
    <w:bookmarkEnd w:id="25"/>
    <w:bookmarkStart w:id="26" w:name="health_check"/>
    <w:p>
      <w:pPr>
        <w:pStyle w:val="Heading3"/>
      </w:pPr>
      <w:r>
        <w:t xml:space="preserve">health_check</w:t>
      </w:r>
    </w:p>
    <w:p>
      <w:pPr>
        <w:pStyle w:val="FirstParagraph"/>
      </w:pPr>
      <w:r>
        <w:t xml:space="preserve">Verifies MCP availability and memory pipeline health.</w:t>
      </w:r>
      <w:r>
        <w:t xml:space="preserve"> </w:t>
      </w:r>
      <w:r>
        <w:t xml:space="preserve">Use once per session before the first memory action.</w:t>
      </w:r>
    </w:p>
    <w:p>
      <w:pPr>
        <w:pStyle w:val="BodyText"/>
      </w:pPr>
      <w:r>
        <w:t xml:space="preserve">Input: none</w:t>
      </w:r>
      <w:r>
        <w:t xml:space="preserve"> </w:t>
      </w:r>
      <w:r>
        <w:t xml:space="preserve">Output: system status and pipeline health.</w:t>
      </w:r>
    </w:p>
    <w:bookmarkEnd w:id="26"/>
    <w:bookmarkEnd w:id="27"/>
    <w:bookmarkStart w:id="28" w:name="mandatory-execution-order"/>
    <w:p>
      <w:pPr>
        <w:pStyle w:val="Heading2"/>
      </w:pPr>
      <w:r>
        <w:t xml:space="preserve">Mandatory Execution Order</w:t>
      </w:r>
    </w:p>
    <w:p>
      <w:pPr>
        <w:numPr>
          <w:ilvl w:val="0"/>
          <w:numId w:val="1010"/>
        </w:numPr>
        <w:pStyle w:val="Compact"/>
      </w:pPr>
      <w:r>
        <w:t xml:space="preserve">health_check — once per session, before first memory action.</w:t>
      </w:r>
    </w:p>
    <w:p>
      <w:pPr>
        <w:numPr>
          <w:ilvl w:val="0"/>
          <w:numId w:val="1010"/>
        </w:numPr>
        <w:pStyle w:val="Compact"/>
      </w:pPr>
      <w:r>
        <w:t xml:space="preserve">recall — before responding when context may exist.</w:t>
      </w:r>
    </w:p>
    <w:p>
      <w:pPr>
        <w:numPr>
          <w:ilvl w:val="0"/>
          <w:numId w:val="1010"/>
        </w:numPr>
        <w:pStyle w:val="Compact"/>
      </w:pPr>
      <w:r>
        <w:t xml:space="preserve">Generate response using recalled context and TQ weighting.</w:t>
      </w:r>
    </w:p>
    <w:p>
      <w:pPr>
        <w:numPr>
          <w:ilvl w:val="0"/>
          <w:numId w:val="1010"/>
        </w:numPr>
        <w:pStyle w:val="Compact"/>
      </w:pPr>
      <w:r>
        <w:t xml:space="preserve">save_to_synapse — after new stable facts, corrections, or milestones.</w:t>
      </w:r>
    </w:p>
    <w:bookmarkEnd w:id="28"/>
    <w:bookmarkStart w:id="29" w:name="proactive-memory-behavior"/>
    <w:p>
      <w:pPr>
        <w:pStyle w:val="Heading2"/>
      </w:pPr>
      <w:r>
        <w:t xml:space="preserve">Proactive Memory Behavior</w:t>
      </w:r>
    </w:p>
    <w:p>
      <w:pPr>
        <w:pStyle w:val="FirstParagraph"/>
      </w:pPr>
      <w:r>
        <w:t xml:space="preserve">This is the most important section for agent developers.</w:t>
      </w:r>
    </w:p>
    <w:p>
      <w:pPr>
        <w:pStyle w:val="BodyText"/>
      </w:pPr>
      <w:r>
        <w:t xml:space="preserve">Do not wait for the user to say</w:t>
      </w:r>
      <w:r>
        <w:t xml:space="preserve"> </w:t>
      </w:r>
      <w:r>
        <w:t xml:space="preserve">“</w:t>
      </w:r>
      <w:r>
        <w:t xml:space="preserve">remember this.</w:t>
      </w:r>
      <w:r>
        <w:t xml:space="preserve">”</w:t>
      </w:r>
    </w:p>
    <w:p>
      <w:pPr>
        <w:pStyle w:val="BodyText"/>
      </w:pPr>
      <w:r>
        <w:t xml:space="preserve">The agent must proactively:</w:t>
      </w:r>
    </w:p>
    <w:p>
      <w:pPr>
        <w:numPr>
          <w:ilvl w:val="0"/>
          <w:numId w:val="1011"/>
        </w:numPr>
        <w:pStyle w:val="Compact"/>
      </w:pPr>
      <w:r>
        <w:t xml:space="preserve">Recall when context might exist.</w:t>
      </w:r>
    </w:p>
    <w:p>
      <w:pPr>
        <w:numPr>
          <w:ilvl w:val="0"/>
          <w:numId w:val="1011"/>
        </w:numPr>
        <w:pStyle w:val="Compact"/>
      </w:pPr>
      <w:r>
        <w:t xml:space="preserve">Save durable facts after they emerge.</w:t>
      </w:r>
    </w:p>
    <w:p>
      <w:pPr>
        <w:numPr>
          <w:ilvl w:val="0"/>
          <w:numId w:val="1011"/>
        </w:numPr>
        <w:pStyle w:val="Compact"/>
      </w:pPr>
      <w:r>
        <w:t xml:space="preserve">Use TQ scores to determine confidence.</w:t>
      </w:r>
    </w:p>
    <w:p>
      <w:pPr>
        <w:numPr>
          <w:ilvl w:val="0"/>
          <w:numId w:val="1011"/>
        </w:numPr>
        <w:pStyle w:val="Compact"/>
      </w:pPr>
      <w:r>
        <w:t xml:space="preserve">Surface conflicts instead of silently overriding memory.</w:t>
      </w:r>
    </w:p>
    <w:p>
      <w:pPr>
        <w:pStyle w:val="FirstParagraph"/>
      </w:pPr>
      <w:r>
        <w:t xml:space="preserve">If current instructions conflict with recalled memory, say:</w:t>
      </w:r>
      <w:r>
        <w:t xml:space="preserve"> </w:t>
      </w:r>
      <w:r>
        <w:t xml:space="preserve">“</w:t>
      </w:r>
      <w:r>
        <w:t xml:space="preserve">Memory conflict detected: [brief conflict]. I will follow the latest</w:t>
      </w:r>
      <w:r>
        <w:t xml:space="preserve"> </w:t>
      </w:r>
      <w:r>
        <w:t xml:space="preserve">explicit user instruction unless you want me to preserve the previous rule.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If recall fails, do not hallucinate past context.</w:t>
      </w:r>
      <w:r>
        <w:t xml:space="preserve"> </w:t>
      </w:r>
      <w:r>
        <w:t xml:space="preserve">Acknowledge the absence and work with current information.</w:t>
      </w:r>
    </w:p>
    <w:bookmarkEnd w:id="29"/>
    <w:bookmarkStart w:id="30" w:name="cross-agent-logic"/>
    <w:p>
      <w:pPr>
        <w:pStyle w:val="Heading2"/>
      </w:pPr>
      <w:r>
        <w:t xml:space="preserve">Cross-Agent Logic</w:t>
      </w:r>
    </w:p>
    <w:p>
      <w:pPr>
        <w:pStyle w:val="FirstParagraph"/>
      </w:pPr>
      <w:r>
        <w:t xml:space="preserve">Omit agent_id to search across all agents.</w:t>
      </w:r>
    </w:p>
    <w:p>
      <w:pPr>
        <w:pStyle w:val="BodyText"/>
      </w:pPr>
      <w:r>
        <w:t xml:space="preserve">This enables:</w:t>
      </w:r>
    </w:p>
    <w:p>
      <w:pPr>
        <w:numPr>
          <w:ilvl w:val="0"/>
          <w:numId w:val="1012"/>
        </w:numPr>
        <w:pStyle w:val="Compact"/>
      </w:pPr>
      <w:r>
        <w:t xml:space="preserve">Save in Claude.</w:t>
      </w:r>
    </w:p>
    <w:p>
      <w:pPr>
        <w:numPr>
          <w:ilvl w:val="0"/>
          <w:numId w:val="1012"/>
        </w:numPr>
        <w:pStyle w:val="Compact"/>
      </w:pPr>
      <w:r>
        <w:t xml:space="preserve">Recall in Cursor.</w:t>
      </w:r>
    </w:p>
    <w:p>
      <w:pPr>
        <w:numPr>
          <w:ilvl w:val="0"/>
          <w:numId w:val="1012"/>
        </w:numPr>
        <w:pStyle w:val="Compact"/>
      </w:pPr>
      <w:r>
        <w:t xml:space="preserve">Continue in any MCP-compatible agent.</w:t>
      </w:r>
    </w:p>
    <w:bookmarkEnd w:id="30"/>
    <w:bookmarkStart w:id="31" w:name="security-model"/>
    <w:p>
      <w:pPr>
        <w:pStyle w:val="Heading2"/>
      </w:pPr>
      <w:r>
        <w:t xml:space="preserve">Security Model</w:t>
      </w:r>
    </w:p>
    <w:p>
      <w:pPr>
        <w:numPr>
          <w:ilvl w:val="0"/>
          <w:numId w:val="1013"/>
        </w:numPr>
        <w:pStyle w:val="Compact"/>
      </w:pPr>
      <w:r>
        <w:t xml:space="preserve">AES-256-GCM encryption.</w:t>
      </w:r>
    </w:p>
    <w:p>
      <w:pPr>
        <w:numPr>
          <w:ilvl w:val="0"/>
          <w:numId w:val="1013"/>
        </w:numPr>
        <w:pStyle w:val="Compact"/>
      </w:pPr>
      <w:r>
        <w:t xml:space="preserve">Server never sees plaintext.</w:t>
      </w:r>
    </w:p>
    <w:p>
      <w:pPr>
        <w:numPr>
          <w:ilvl w:val="0"/>
          <w:numId w:val="1013"/>
        </w:numPr>
        <w:pStyle w:val="Compact"/>
      </w:pPr>
      <w:r>
        <w:t xml:space="preserve">Header-first auth.</w:t>
      </w:r>
    </w:p>
    <w:p>
      <w:pPr>
        <w:numPr>
          <w:ilvl w:val="0"/>
          <w:numId w:val="1013"/>
        </w:numPr>
        <w:pStyle w:val="Compact"/>
      </w:pPr>
      <w:r>
        <w:t xml:space="preserve">PII-aware storage pipeline.</w:t>
      </w:r>
    </w:p>
    <w:p>
      <w:pPr>
        <w:numPr>
          <w:ilvl w:val="0"/>
          <w:numId w:val="1013"/>
        </w:numPr>
        <w:pStyle w:val="Compact"/>
      </w:pPr>
      <w:r>
        <w:t xml:space="preserve">Apache 2.0.</w:t>
      </w:r>
    </w:p>
    <w:bookmarkEnd w:id="31"/>
    <w:bookmarkStart w:id="33" w:name="mcp-configuration"/>
    <w:p>
      <w:pPr>
        <w:pStyle w:val="Heading2"/>
      </w:pPr>
      <w:r>
        <w:t xml:space="preserve">MCP Configuration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"synapse-layer"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"mcp-remote"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"https://forge.synapselayer.org/api/mcp"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"--header"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"x-connect-token: sk_connect_YOUR_TOKEN"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Get your token:</w:t>
      </w:r>
      <w:r>
        <w:t xml:space="preserve"> </w:t>
      </w:r>
      <w:hyperlink r:id="rId32">
        <w:r>
          <w:rPr>
            <w:rStyle w:val="Hyperlink"/>
          </w:rPr>
          <w:t xml:space="preserve">synapselayer.org</w:t>
        </w:r>
      </w:hyperlink>
      <w:r>
        <w:t xml:space="preserve"> </w:t>
      </w:r>
      <w:r>
        <w:t xml:space="preserve">→ Dashboard → Connect</w:t>
      </w:r>
    </w:p>
    <w:bookmarkEnd w:id="33"/>
    <w:bookmarkStart w:id="36" w:name="links"/>
    <w:p>
      <w:pPr>
        <w:pStyle w:val="Heading2"/>
      </w:pPr>
      <w:r>
        <w:t xml:space="preserve">Links</w:t>
      </w:r>
    </w:p>
    <w:p>
      <w:pPr>
        <w:numPr>
          <w:ilvl w:val="0"/>
          <w:numId w:val="1014"/>
        </w:numPr>
        <w:pStyle w:val="Compact"/>
      </w:pPr>
      <w:r>
        <w:t xml:space="preserve">Website:</w:t>
      </w:r>
      <w:r>
        <w:t xml:space="preserve"> </w:t>
      </w:r>
      <w:hyperlink r:id="rId32">
        <w:r>
          <w:rPr>
            <w:rStyle w:val="Hyperlink"/>
          </w:rPr>
          <w:t xml:space="preserve">synapselayer.org</w:t>
        </w:r>
      </w:hyperlink>
    </w:p>
    <w:p>
      <w:pPr>
        <w:numPr>
          <w:ilvl w:val="0"/>
          <w:numId w:val="1014"/>
        </w:numPr>
        <w:pStyle w:val="Compact"/>
      </w:pPr>
      <w:r>
        <w:t xml:space="preserve">PyPI:</w:t>
      </w:r>
      <w:r>
        <w:t xml:space="preserve"> </w:t>
      </w:r>
      <w:hyperlink r:id="rId34">
        <w:r>
          <w:rPr>
            <w:rStyle w:val="Hyperlink"/>
          </w:rPr>
          <w:t xml:space="preserve">pypi.org/project/synapse-layer</w:t>
        </w:r>
      </w:hyperlink>
    </w:p>
    <w:p>
      <w:pPr>
        <w:numPr>
          <w:ilvl w:val="0"/>
          <w:numId w:val="1014"/>
        </w:numPr>
        <w:pStyle w:val="Compact"/>
      </w:pPr>
      <w:r>
        <w:t xml:space="preserve">Core Repo:</w:t>
      </w:r>
      <w:r>
        <w:t xml:space="preserve"> </w:t>
      </w:r>
      <w:hyperlink r:id="rId35">
        <w:r>
          <w:rPr>
            <w:rStyle w:val="Hyperlink"/>
          </w:rPr>
          <w:t xml:space="preserve">github.com/SynapseLayer/synapse-layer</w:t>
        </w:r>
      </w:hyperlink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github.com/SynapseLayer/synapse-layer" TargetMode="External" /><Relationship Type="http://schemas.openxmlformats.org/officeDocument/2006/relationships/hyperlink" Id="rId34" Target="https://pypi.org/project/synapse-layer/" TargetMode="External" /><Relationship Type="http://schemas.openxmlformats.org/officeDocument/2006/relationships/hyperlink" Id="rId32" Target="https://synapselayer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github.com/SynapseLayer/synapse-layer" TargetMode="External" /><Relationship Type="http://schemas.openxmlformats.org/officeDocument/2006/relationships/hyperlink" Id="rId34" Target="https://pypi.org/project/synapse-layer/" TargetMode="External" /><Relationship Type="http://schemas.openxmlformats.org/officeDocument/2006/relationships/hyperlink" Id="rId32" Target="https://synapselayer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Persistent, encrypted, cross-agent memory infrastructure for AI agents. Store, recall, and transfer state across models and sessions via MCP. Server never sees plaintext. TRUTH QUOTIENT™ scores memories for reliability.</dc:description>
  <cp:keywords>memory, long-term memory, recall, persistent context, agent memory, cross-agent memory, state continuity, truth quotient, governed recall, MCP memory, encrypted memory, cross-session continuity, agent-memory, persistent-context, non-volatile-context</cp:keywords>
  <dcterms:created xsi:type="dcterms:W3CDTF">2026-05-02T03:42:37Z</dcterms:created>
  <dcterms:modified xsi:type="dcterms:W3CDTF">2026-05-02T03:42:37Z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apabilities">
    <vt:lpwstr/>
  </property>
  <property fmtid="{D5CDD505-2E9C-101B-9397-08002B2CF9AE}" pid="3" name="name">
    <vt:lpwstr>synapse-layer-memory</vt:lpwstr>
  </property>
  <property fmtid="{D5CDD505-2E9C-101B-9397-08002B2CF9AE}" pid="4" name="version">
    <vt:lpwstr>2.3.1</vt:lpwstr>
  </property>
</Properties>
</file>