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D28D9"/>
          <w:sz w:val="44"/>
          <w:szCs w:val="44"/>
        </w:rPr>
        <w:t xml:space="preserve">SYNC.PLANNER</w:t>
      </w:r>
    </w:p>
    <w:p>
      <w:pPr>
        <w:spacing w:after="40"/>
      </w:pPr>
      <w:r>
        <w:rPr>
          <w:color w:val="1F1B2E"/>
          <w:sz w:val="26"/>
          <w:szCs w:val="26"/>
        </w:rPr>
        <w:t xml:space="preserve">Audit technique et positionnement marché</w:t>
      </w:r>
    </w:p>
    <w:p>
      <w:pPr>
        <w:spacing w:after="400"/>
      </w:pPr>
      <w:r>
        <w:rPr>
          <w:i/>
          <w:iCs/>
          <w:color w:val="5B5880"/>
          <w:sz w:val="19"/>
          <w:szCs w:val="19"/>
        </w:rPr>
        <w:t xml:space="preserve">Préparé pour J — Août 2026</w:t>
      </w:r>
    </w:p>
    <w:p>
      <w:pPr>
        <w:pStyle w:val="Heading1"/>
        <w:pBdr>
          <w:bottom w:val="single" w:color="6D28D9" w:sz="6"/>
        </w:pBdr>
        <w:spacing w:after="160" w:before="360"/>
      </w:pPr>
      <w:r>
        <w:rPr>
          <w:b/>
          <w:bCs/>
          <w:color w:val="1F1B2E"/>
          <w:sz w:val="30"/>
          <w:szCs w:val="30"/>
        </w:rPr>
        <w:t xml:space="preserve">Résumé exécutif</w:t>
      </w:r>
    </w:p>
    <w:p>
      <w:pPr>
        <w:spacing w:after="160" w:line="300"/>
      </w:pPr>
      <w:r>
        <w:rPr>
          <w:color w:val="1F1B2E"/>
          <w:sz w:val="21"/>
          <w:szCs w:val="21"/>
        </w:rPr>
        <w:t xml:space="preserve">L'application est globalement bien construite pour un projet Electron mono-fichier : le pipeline de matching SACEM, le calcul de rentabilité temps/revenu et l'intégration Logic Pro montrent une vraie rigueur défensive (garde-fous contre les divisions par zéro, évitement des rapprochements ambigus, tolérance aux formats de relevés variables). Deux points méritent une attention réelle : un risque de perte de données à la fermeture de l'appli, et un bug confirmé sur le Kanban qui n'affecte pas les données mais l'affichage au quotidien.</w:t>
      </w:r>
    </w:p>
    <w:p>
      <w:pPr>
        <w:spacing w:after="160" w:line="300"/>
      </w:pPr>
      <w:r>
        <w:rPr>
          <w:color w:val="1F1B2E"/>
          <w:sz w:val="21"/>
          <w:szCs w:val="21"/>
        </w:rPr>
        <w:t xml:space="preserve">Aucun de ces points ne remet en cause l'usage quotidien de l'outil — rien ne casse la fiabilité des chiffres de revenus déjà affichés. Ce sont des corrections de fond à prioriser plutôt que des urgences bloquantes.</w:t>
      </w:r>
    </w:p>
    <w:p>
      <w:pPr>
        <w:pStyle w:val="Heading1"/>
        <w:pBdr>
          <w:bottom w:val="single" w:color="6D28D9" w:sz="6"/>
        </w:pBdr>
        <w:spacing w:after="160" w:before="360"/>
      </w:pPr>
      <w:r>
        <w:rPr>
          <w:b/>
          <w:bCs/>
          <w:color w:val="1F1B2E"/>
          <w:sz w:val="30"/>
          <w:szCs w:val="30"/>
        </w:rPr>
        <w:t xml:space="preserve">Bugs et risques techniques</w:t>
      </w:r>
    </w:p>
    <w:p>
      <w:pPr>
        <w:spacing w:after="160" w:line="300"/>
      </w:pPr>
      <w:r>
        <w:rPr>
          <w:color w:val="1F1B2E"/>
          <w:sz w:val="21"/>
          <w:szCs w:val="21"/>
        </w:rPr>
        <w:t xml:space="preserve">12 points identifiés, classés par sévérité. "Critique" et "Élevée" sont ceux qui peuvent réellement faire perdre du travail ou de l'information ; "Moyenne" et "Faible" sont des incohérences ou du code à nettoyer sans urgence.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1400"/>
        <w:gridCol w:w="2900"/>
        <w:gridCol w:w="3040"/>
      </w:tblGrid>
      <w:tr>
        <w:trPr>
          <w:tblHeader/>
        </w:trPr>
        <w:tc>
          <w:tcPr>
            <w:tcW w:type="dxa" w:w="1000"/>
            <w:shd w:fill="1F1B2E" w:val="clear"/>
            <w:tcMar>
              <w:top w:type="dxa" w:w="100"/>
              <w:left w:type="dxa" w:w="120"/>
              <w:bottom w:type="dxa" w:w="100"/>
              <w:right w:type="dxa" w:w="120"/>
            </w:tcMar>
            <w:vAlign w:val="center"/>
          </w:tcPr>
          <w:p>
            <w:r>
              <w:rPr>
                <w:b/>
                <w:bCs/>
                <w:color w:val="FFFFFF"/>
                <w:sz w:val="18"/>
                <w:szCs w:val="18"/>
              </w:rPr>
              <w:t xml:space="preserve">Sévérité</w:t>
            </w:r>
          </w:p>
        </w:tc>
        <w:tc>
          <w:tcPr>
            <w:tcW w:type="dxa" w:w="2100"/>
            <w:shd w:fill="1F1B2E" w:val="clear"/>
            <w:tcMar>
              <w:top w:type="dxa" w:w="100"/>
              <w:left w:type="dxa" w:w="120"/>
              <w:bottom w:type="dxa" w:w="100"/>
              <w:right w:type="dxa" w:w="120"/>
            </w:tcMar>
            <w:vAlign w:val="center"/>
          </w:tcPr>
          <w:p>
            <w:r>
              <w:rPr>
                <w:b/>
                <w:bCs/>
                <w:color w:val="FFFFFF"/>
                <w:sz w:val="18"/>
                <w:szCs w:val="18"/>
              </w:rPr>
              <w:t xml:space="preserve">Problème</w:t>
            </w:r>
          </w:p>
        </w:tc>
        <w:tc>
          <w:tcPr>
            <w:tcW w:type="dxa" w:w="1400"/>
            <w:shd w:fill="1F1B2E" w:val="clear"/>
            <w:tcMar>
              <w:top w:type="dxa" w:w="100"/>
              <w:left w:type="dxa" w:w="120"/>
              <w:bottom w:type="dxa" w:w="100"/>
              <w:right w:type="dxa" w:w="120"/>
            </w:tcMar>
            <w:vAlign w:val="center"/>
          </w:tcPr>
          <w:p>
            <w:r>
              <w:rPr>
                <w:b/>
                <w:bCs/>
                <w:color w:val="FFFFFF"/>
                <w:sz w:val="18"/>
                <w:szCs w:val="18"/>
              </w:rPr>
              <w:t xml:space="preserve">Où</w:t>
            </w:r>
          </w:p>
        </w:tc>
        <w:tc>
          <w:tcPr>
            <w:tcW w:type="dxa" w:w="2900"/>
            <w:shd w:fill="1F1B2E" w:val="clear"/>
            <w:tcMar>
              <w:top w:type="dxa" w:w="100"/>
              <w:left w:type="dxa" w:w="120"/>
              <w:bottom w:type="dxa" w:w="100"/>
              <w:right w:type="dxa" w:w="120"/>
            </w:tcMar>
            <w:vAlign w:val="center"/>
          </w:tcPr>
          <w:p>
            <w:r>
              <w:rPr>
                <w:b/>
                <w:bCs/>
                <w:color w:val="FFFFFF"/>
                <w:sz w:val="18"/>
                <w:szCs w:val="18"/>
              </w:rPr>
              <w:t xml:space="preserve">Impact concret</w:t>
            </w:r>
          </w:p>
        </w:tc>
        <w:tc>
          <w:tcPr>
            <w:tcW w:type="dxa" w:w="3040"/>
            <w:shd w:fill="1F1B2E" w:val="clear"/>
            <w:tcMar>
              <w:top w:type="dxa" w:w="100"/>
              <w:left w:type="dxa" w:w="120"/>
              <w:bottom w:type="dxa" w:w="100"/>
              <w:right w:type="dxa" w:w="120"/>
            </w:tcMar>
            <w:vAlign w:val="center"/>
          </w:tcPr>
          <w:p>
            <w:r>
              <w:rPr>
                <w:b/>
                <w:bCs/>
                <w:color w:val="FFFFFF"/>
                <w:sz w:val="18"/>
                <w:szCs w:val="18"/>
              </w:rPr>
              <w:t xml:space="preserve">Correction recommandée</w:t>
            </w:r>
          </w:p>
        </w:tc>
      </w:tr>
      <w:tr>
        <w:tc>
          <w:tcPr>
            <w:tcW w:type="dxa" w:w="1000"/>
            <w:shd w:fill="FEE2E2" w:val="clear"/>
            <w:tcMar>
              <w:top w:type="dxa" w:w="100"/>
              <w:left w:type="dxa" w:w="120"/>
              <w:bottom w:type="dxa" w:w="100"/>
              <w:right w:type="dxa" w:w="120"/>
            </w:tcMar>
            <w:vAlign w:val="center"/>
          </w:tcPr>
          <w:p>
            <w:r>
              <w:rPr>
                <w:b/>
                <w:bCs/>
                <w:color w:val="DC2626"/>
                <w:sz w:val="18"/>
                <w:szCs w:val="18"/>
              </w:rPr>
              <w:t xml:space="preserve">Critique</w:t>
            </w:r>
          </w:p>
        </w:tc>
        <w:tc>
          <w:tcPr>
            <w:tcW w:type="dxa" w:w="2100"/>
            <w:tcMar>
              <w:top w:type="dxa" w:w="100"/>
              <w:left w:type="dxa" w:w="120"/>
              <w:bottom w:type="dxa" w:w="100"/>
              <w:right w:type="dxa" w:w="120"/>
            </w:tcMar>
            <w:vAlign w:val="center"/>
          </w:tcPr>
          <w:p>
            <w:r>
              <w:rPr>
                <w:b/>
                <w:bCs/>
                <w:color w:val="1F1B2E"/>
                <w:sz w:val="18"/>
                <w:szCs w:val="18"/>
              </w:rPr>
              <w:t xml:space="preserve">Pas de sauvegarde forcée à la fermeture</w:t>
            </w:r>
          </w:p>
        </w:tc>
        <w:tc>
          <w:tcPr>
            <w:tcW w:type="dxa" w:w="1400"/>
            <w:tcMar>
              <w:top w:type="dxa" w:w="100"/>
              <w:left w:type="dxa" w:w="120"/>
              <w:bottom w:type="dxa" w:w="100"/>
              <w:right w:type="dxa" w:w="120"/>
            </w:tcMar>
            <w:vAlign w:val="center"/>
          </w:tcPr>
          <w:p>
            <w:r>
              <w:rPr>
                <w:b w:val="false"/>
                <w:bCs w:val="false"/>
                <w:color w:val="5B5880"/>
                <w:sz w:val="17"/>
                <w:szCs w:val="17"/>
              </w:rPr>
              <w:t xml:space="preserve">SyncPlanner.html:3467 / main.js:356</w:t>
            </w:r>
          </w:p>
        </w:tc>
        <w:tc>
          <w:tcPr>
            <w:tcW w:type="dxa" w:w="2900"/>
            <w:tcMar>
              <w:top w:type="dxa" w:w="100"/>
              <w:left w:type="dxa" w:w="120"/>
              <w:bottom w:type="dxa" w:w="100"/>
              <w:right w:type="dxa" w:w="120"/>
            </w:tcMar>
            <w:vAlign w:val="center"/>
          </w:tcPr>
          <w:p>
            <w:r>
              <w:rPr>
                <w:b w:val="false"/>
                <w:bCs w:val="false"/>
                <w:color w:val="1F1B2E"/>
                <w:sz w:val="18"/>
                <w:szCs w:val="18"/>
              </w:rPr>
              <w:t xml:space="preserve">La sauvegarde est différée de 600ms. Fermer l'appli juste après une modif peut la perdre silencieusement.</w:t>
            </w:r>
          </w:p>
        </w:tc>
        <w:tc>
          <w:tcPr>
            <w:tcW w:type="dxa" w:w="3040"/>
            <w:tcMar>
              <w:top w:type="dxa" w:w="100"/>
              <w:left w:type="dxa" w:w="120"/>
              <w:bottom w:type="dxa" w:w="100"/>
              <w:right w:type="dxa" w:w="120"/>
            </w:tcMar>
            <w:vAlign w:val="center"/>
          </w:tcPr>
          <w:p>
            <w:r>
              <w:rPr>
                <w:b w:val="false"/>
                <w:bCs w:val="false"/>
                <w:color w:val="1F1B2E"/>
                <w:sz w:val="18"/>
                <w:szCs w:val="18"/>
              </w:rPr>
              <w:t xml:space="preserve">Forcer une écriture synchrone à la fermeture de la fenêtre.</w:t>
            </w:r>
          </w:p>
        </w:tc>
      </w:tr>
      <w:tr>
        <w:tc>
          <w:tcPr>
            <w:tcW w:type="dxa" w:w="1000"/>
            <w:shd w:fill="FEF3C7" w:val="clear"/>
            <w:tcMar>
              <w:top w:type="dxa" w:w="100"/>
              <w:left w:type="dxa" w:w="120"/>
              <w:bottom w:type="dxa" w:w="100"/>
              <w:right w:type="dxa" w:w="120"/>
            </w:tcMar>
            <w:vAlign w:val="center"/>
          </w:tcPr>
          <w:p>
            <w:r>
              <w:rPr>
                <w:b/>
                <w:bCs/>
                <w:color w:val="D97706"/>
                <w:sz w:val="18"/>
                <w:szCs w:val="18"/>
              </w:rPr>
              <w:t xml:space="preserve">Élevée</w:t>
            </w:r>
          </w:p>
        </w:tc>
        <w:tc>
          <w:tcPr>
            <w:tcW w:type="dxa" w:w="2100"/>
            <w:tcMar>
              <w:top w:type="dxa" w:w="100"/>
              <w:left w:type="dxa" w:w="120"/>
              <w:bottom w:type="dxa" w:w="100"/>
              <w:right w:type="dxa" w:w="120"/>
            </w:tcMar>
            <w:vAlign w:val="center"/>
          </w:tcPr>
          <w:p>
            <w:r>
              <w:rPr>
                <w:b/>
                <w:bCs/>
                <w:color w:val="1F1B2E"/>
                <w:sz w:val="18"/>
                <w:szCs w:val="18"/>
              </w:rPr>
              <w:t xml:space="preserve">Import JSON écrase tout sans confirmation</w:t>
            </w:r>
          </w:p>
        </w:tc>
        <w:tc>
          <w:tcPr>
            <w:tcW w:type="dxa" w:w="1400"/>
            <w:tcMar>
              <w:top w:type="dxa" w:w="100"/>
              <w:left w:type="dxa" w:w="120"/>
              <w:bottom w:type="dxa" w:w="100"/>
              <w:right w:type="dxa" w:w="120"/>
            </w:tcMar>
            <w:vAlign w:val="center"/>
          </w:tcPr>
          <w:p>
            <w:r>
              <w:rPr>
                <w:b w:val="false"/>
                <w:bCs w:val="false"/>
                <w:color w:val="5B5880"/>
                <w:sz w:val="17"/>
                <w:szCs w:val="17"/>
              </w:rPr>
              <w:t xml:space="preserve">SyncPlanner.html:3670</w:t>
            </w:r>
          </w:p>
        </w:tc>
        <w:tc>
          <w:tcPr>
            <w:tcW w:type="dxa" w:w="2900"/>
            <w:tcMar>
              <w:top w:type="dxa" w:w="100"/>
              <w:left w:type="dxa" w:w="120"/>
              <w:bottom w:type="dxa" w:w="100"/>
              <w:right w:type="dxa" w:w="120"/>
            </w:tcMar>
            <w:vAlign w:val="center"/>
          </w:tcPr>
          <w:p>
            <w:r>
              <w:rPr>
                <w:b w:val="false"/>
                <w:bCs w:val="false"/>
                <w:color w:val="1F1B2E"/>
                <w:sz w:val="18"/>
                <w:szCs w:val="18"/>
              </w:rPr>
              <w:t xml:space="preserve">Choisir le mauvais fichier remplace tout le catalogue instantanément, sans avertissement ni entrée dans l'historique.</w:t>
            </w:r>
          </w:p>
        </w:tc>
        <w:tc>
          <w:tcPr>
            <w:tcW w:type="dxa" w:w="3040"/>
            <w:tcMar>
              <w:top w:type="dxa" w:w="100"/>
              <w:left w:type="dxa" w:w="120"/>
              <w:bottom w:type="dxa" w:w="100"/>
              <w:right w:type="dxa" w:w="120"/>
            </w:tcMar>
            <w:vAlign w:val="center"/>
          </w:tcPr>
          <w:p>
            <w:r>
              <w:rPr>
                <w:b w:val="false"/>
                <w:bCs w:val="false"/>
                <w:color w:val="1F1B2E"/>
                <w:sz w:val="18"/>
                <w:szCs w:val="18"/>
              </w:rPr>
              <w:t xml:space="preserve">Ajouter une confirmation explicite avant écrasement + historiser l'action.</w:t>
            </w:r>
          </w:p>
        </w:tc>
      </w:tr>
      <w:tr>
        <w:tc>
          <w:tcPr>
            <w:tcW w:type="dxa" w:w="1000"/>
            <w:shd w:fill="FEF3C7" w:val="clear"/>
            <w:tcMar>
              <w:top w:type="dxa" w:w="100"/>
              <w:left w:type="dxa" w:w="120"/>
              <w:bottom w:type="dxa" w:w="100"/>
              <w:right w:type="dxa" w:w="120"/>
            </w:tcMar>
            <w:vAlign w:val="center"/>
          </w:tcPr>
          <w:p>
            <w:r>
              <w:rPr>
                <w:b/>
                <w:bCs/>
                <w:color w:val="D97706"/>
                <w:sz w:val="18"/>
                <w:szCs w:val="18"/>
              </w:rPr>
              <w:t xml:space="preserve">Élevée</w:t>
            </w:r>
          </w:p>
        </w:tc>
        <w:tc>
          <w:tcPr>
            <w:tcW w:type="dxa" w:w="2100"/>
            <w:tcMar>
              <w:top w:type="dxa" w:w="100"/>
              <w:left w:type="dxa" w:w="120"/>
              <w:bottom w:type="dxa" w:w="100"/>
              <w:right w:type="dxa" w:w="120"/>
            </w:tcMar>
            <w:vAlign w:val="center"/>
          </w:tcPr>
          <w:p>
            <w:r>
              <w:rPr>
                <w:b/>
                <w:bCs/>
                <w:color w:val="1F1B2E"/>
                <w:sz w:val="18"/>
                <w:szCs w:val="18"/>
              </w:rPr>
              <w:t xml:space="preserve">Kanban ne se met pas à jour après la date d'envoi</w:t>
            </w:r>
          </w:p>
        </w:tc>
        <w:tc>
          <w:tcPr>
            <w:tcW w:type="dxa" w:w="1400"/>
            <w:tcMar>
              <w:top w:type="dxa" w:w="100"/>
              <w:left w:type="dxa" w:w="120"/>
              <w:bottom w:type="dxa" w:w="100"/>
              <w:right w:type="dxa" w:w="120"/>
            </w:tcMar>
            <w:vAlign w:val="center"/>
          </w:tcPr>
          <w:p>
            <w:r>
              <w:rPr>
                <w:b w:val="false"/>
                <w:bCs w:val="false"/>
                <w:color w:val="5B5880"/>
                <w:sz w:val="17"/>
                <w:szCs w:val="17"/>
              </w:rPr>
              <w:t xml:space="preserve">SyncPlanner.html:7290-7336</w:t>
            </w:r>
          </w:p>
        </w:tc>
        <w:tc>
          <w:tcPr>
            <w:tcW w:type="dxa" w:w="2900"/>
            <w:tcMar>
              <w:top w:type="dxa" w:w="100"/>
              <w:left w:type="dxa" w:w="120"/>
              <w:bottom w:type="dxa" w:w="100"/>
              <w:right w:type="dxa" w:w="120"/>
            </w:tcMar>
            <w:vAlign w:val="center"/>
          </w:tcPr>
          <w:p>
            <w:r>
              <w:rPr>
                <w:b w:val="false"/>
                <w:bCs w:val="false"/>
                <w:color w:val="1F1B2E"/>
                <w:sz w:val="18"/>
                <w:szCs w:val="18"/>
              </w:rPr>
              <w:t xml:space="preserve">Après confirmation de la date d'envoi sur le Kanban, la carte reste visuellement dans l'ancienne colonne tant qu'on ne change pas de page.</w:t>
            </w:r>
          </w:p>
        </w:tc>
        <w:tc>
          <w:tcPr>
            <w:tcW w:type="dxa" w:w="3040"/>
            <w:tcMar>
              <w:top w:type="dxa" w:w="100"/>
              <w:left w:type="dxa" w:w="120"/>
              <w:bottom w:type="dxa" w:w="100"/>
              <w:right w:type="dxa" w:w="120"/>
            </w:tcMar>
            <w:vAlign w:val="center"/>
          </w:tcPr>
          <w:p>
            <w:r>
              <w:rPr>
                <w:b w:val="false"/>
                <w:bCs w:val="false"/>
                <w:color w:val="1F1B2E"/>
                <w:sz w:val="18"/>
                <w:szCs w:val="18"/>
              </w:rPr>
              <w:t xml:space="preserve">Rafraîchir aussi la vue Kanban dans ce callback.</w:t>
            </w:r>
          </w:p>
        </w:tc>
      </w:tr>
      <w:tr>
        <w:tc>
          <w:tcPr>
            <w:tcW w:type="dxa" w:w="1000"/>
            <w:shd w:fill="FEF3C7" w:val="clear"/>
            <w:tcMar>
              <w:top w:type="dxa" w:w="100"/>
              <w:left w:type="dxa" w:w="120"/>
              <w:bottom w:type="dxa" w:w="100"/>
              <w:right w:type="dxa" w:w="120"/>
            </w:tcMar>
            <w:vAlign w:val="center"/>
          </w:tcPr>
          <w:p>
            <w:r>
              <w:rPr>
                <w:b/>
                <w:bCs/>
                <w:color w:val="D97706"/>
                <w:sz w:val="18"/>
                <w:szCs w:val="18"/>
              </w:rPr>
              <w:t xml:space="preserve">Élevée</w:t>
            </w:r>
          </w:p>
        </w:tc>
        <w:tc>
          <w:tcPr>
            <w:tcW w:type="dxa" w:w="2100"/>
            <w:tcMar>
              <w:top w:type="dxa" w:w="100"/>
              <w:left w:type="dxa" w:w="120"/>
              <w:bottom w:type="dxa" w:w="100"/>
              <w:right w:type="dxa" w:w="120"/>
            </w:tcMar>
            <w:vAlign w:val="center"/>
          </w:tcPr>
          <w:p>
            <w:r>
              <w:rPr>
                <w:b/>
                <w:bCs/>
                <w:color w:val="1F1B2E"/>
                <w:sz w:val="18"/>
                <w:szCs w:val="18"/>
              </w:rPr>
              <w:t xml:space="preserve">Historique (Cmd+Z) pollué par les sauvegardes automatiques</w:t>
            </w:r>
          </w:p>
        </w:tc>
        <w:tc>
          <w:tcPr>
            <w:tcW w:type="dxa" w:w="1400"/>
            <w:tcMar>
              <w:top w:type="dxa" w:w="100"/>
              <w:left w:type="dxa" w:w="120"/>
              <w:bottom w:type="dxa" w:w="100"/>
              <w:right w:type="dxa" w:w="120"/>
            </w:tcMar>
            <w:vAlign w:val="center"/>
          </w:tcPr>
          <w:p>
            <w:r>
              <w:rPr>
                <w:b w:val="false"/>
                <w:bCs w:val="false"/>
                <w:color w:val="5B5880"/>
                <w:sz w:val="17"/>
                <w:szCs w:val="17"/>
              </w:rPr>
              <w:t xml:space="preserve">SyncPlanner.html:4417 / 4023</w:t>
            </w:r>
          </w:p>
        </w:tc>
        <w:tc>
          <w:tcPr>
            <w:tcW w:type="dxa" w:w="2900"/>
            <w:tcMar>
              <w:top w:type="dxa" w:w="100"/>
              <w:left w:type="dxa" w:w="120"/>
              <w:bottom w:type="dxa" w:w="100"/>
              <w:right w:type="dxa" w:w="120"/>
            </w:tcMar>
            <w:vAlign w:val="center"/>
          </w:tcPr>
          <w:p>
            <w:r>
              <w:rPr>
                <w:b w:val="false"/>
                <w:bCs w:val="false"/>
                <w:color w:val="1F1B2E"/>
                <w:sz w:val="18"/>
                <w:szCs w:val="18"/>
              </w:rPr>
              <w:t xml:space="preserve">Chaque tick Logic Pro (30s) et chaque mise à jour BPM/clé pousse une entrée d'historique. Avec 20 emplacements max, ~10 min de composition efface tout l'historique de vraies actions.</w:t>
            </w:r>
          </w:p>
        </w:tc>
        <w:tc>
          <w:tcPr>
            <w:tcW w:type="dxa" w:w="3040"/>
            <w:tcMar>
              <w:top w:type="dxa" w:w="100"/>
              <w:left w:type="dxa" w:w="120"/>
              <w:bottom w:type="dxa" w:w="100"/>
              <w:right w:type="dxa" w:w="120"/>
            </w:tcMar>
            <w:vAlign w:val="center"/>
          </w:tcPr>
          <w:p>
            <w:r>
              <w:rPr>
                <w:b w:val="false"/>
                <w:bCs w:val="false"/>
                <w:color w:val="1F1B2E"/>
                <w:sz w:val="18"/>
                <w:szCs w:val="18"/>
              </w:rPr>
              <w:t xml:space="preserve">Séparer un chemin de sauvegarde "silencieux" qui ne touche pas l'historique.</w:t>
            </w:r>
          </w:p>
        </w:tc>
      </w:tr>
      <w:tr>
        <w:tc>
          <w:tcPr>
            <w:tcW w:type="dxa" w:w="1000"/>
            <w:shd w:fill="FEF9C3" w:val="clear"/>
            <w:tcMar>
              <w:top w:type="dxa" w:w="100"/>
              <w:left w:type="dxa" w:w="120"/>
              <w:bottom w:type="dxa" w:w="100"/>
              <w:right w:type="dxa" w:w="120"/>
            </w:tcMar>
            <w:vAlign w:val="center"/>
          </w:tcPr>
          <w:p>
            <w:r>
              <w:rPr>
                <w:b/>
                <w:bCs/>
                <w:color w:val="CA8A04"/>
                <w:sz w:val="18"/>
                <w:szCs w:val="18"/>
              </w:rPr>
              <w:t xml:space="preserve">Moyenne</w:t>
            </w:r>
          </w:p>
        </w:tc>
        <w:tc>
          <w:tcPr>
            <w:tcW w:type="dxa" w:w="2100"/>
            <w:tcMar>
              <w:top w:type="dxa" w:w="100"/>
              <w:left w:type="dxa" w:w="120"/>
              <w:bottom w:type="dxa" w:w="100"/>
              <w:right w:type="dxa" w:w="120"/>
            </w:tcMar>
            <w:vAlign w:val="center"/>
          </w:tcPr>
          <w:p>
            <w:r>
              <w:rPr>
                <w:b/>
                <w:bCs/>
                <w:color w:val="1F1B2E"/>
                <w:sz w:val="18"/>
                <w:szCs w:val="18"/>
              </w:rPr>
              <w:t xml:space="preserve">Suppression de track sans confirmation</w:t>
            </w:r>
          </w:p>
        </w:tc>
        <w:tc>
          <w:tcPr>
            <w:tcW w:type="dxa" w:w="1400"/>
            <w:tcMar>
              <w:top w:type="dxa" w:w="100"/>
              <w:left w:type="dxa" w:w="120"/>
              <w:bottom w:type="dxa" w:w="100"/>
              <w:right w:type="dxa" w:w="120"/>
            </w:tcMar>
            <w:vAlign w:val="center"/>
          </w:tcPr>
          <w:p>
            <w:r>
              <w:rPr>
                <w:b w:val="false"/>
                <w:bCs w:val="false"/>
                <w:color w:val="5B5880"/>
                <w:sz w:val="17"/>
                <w:szCs w:val="17"/>
              </w:rPr>
              <w:t xml:space="preserve">SyncPlanner.html:7756 / 6782 / 6802</w:t>
            </w:r>
          </w:p>
        </w:tc>
        <w:tc>
          <w:tcPr>
            <w:tcW w:type="dxa" w:w="2900"/>
            <w:tcMar>
              <w:top w:type="dxa" w:w="100"/>
              <w:left w:type="dxa" w:w="120"/>
              <w:bottom w:type="dxa" w:w="100"/>
              <w:right w:type="dxa" w:w="120"/>
            </w:tcMar>
            <w:vAlign w:val="center"/>
          </w:tcPr>
          <w:p>
            <w:r>
              <w:rPr>
                <w:b w:val="false"/>
                <w:bCs w:val="false"/>
                <w:color w:val="1F1B2E"/>
                <w:sz w:val="18"/>
                <w:szCs w:val="18"/>
              </w:rPr>
              <w:t xml:space="preserve">Supprimer un album demande une confirmation, mais supprimer une track ou un collaborateur se fait immédiatement — un clic malheureux perd tout l'historique de la track.</w:t>
            </w:r>
          </w:p>
        </w:tc>
        <w:tc>
          <w:tcPr>
            <w:tcW w:type="dxa" w:w="3040"/>
            <w:tcMar>
              <w:top w:type="dxa" w:w="100"/>
              <w:left w:type="dxa" w:w="120"/>
              <w:bottom w:type="dxa" w:w="100"/>
              <w:right w:type="dxa" w:w="120"/>
            </w:tcMar>
            <w:vAlign w:val="center"/>
          </w:tcPr>
          <w:p>
            <w:r>
              <w:rPr>
                <w:b w:val="false"/>
                <w:bCs w:val="false"/>
                <w:color w:val="1F1B2E"/>
                <w:sz w:val="18"/>
                <w:szCs w:val="18"/>
              </w:rPr>
              <w:t xml:space="preserve">Harmoniser : confirmation systématique sur toute suppression irréversible.</w:t>
            </w:r>
          </w:p>
        </w:tc>
      </w:tr>
      <w:tr>
        <w:tc>
          <w:tcPr>
            <w:tcW w:type="dxa" w:w="1000"/>
            <w:shd w:fill="FEF9C3" w:val="clear"/>
            <w:tcMar>
              <w:top w:type="dxa" w:w="100"/>
              <w:left w:type="dxa" w:w="120"/>
              <w:bottom w:type="dxa" w:w="100"/>
              <w:right w:type="dxa" w:w="120"/>
            </w:tcMar>
            <w:vAlign w:val="center"/>
          </w:tcPr>
          <w:p>
            <w:r>
              <w:rPr>
                <w:b/>
                <w:bCs/>
                <w:color w:val="CA8A04"/>
                <w:sz w:val="18"/>
                <w:szCs w:val="18"/>
              </w:rPr>
              <w:t xml:space="preserve">Moyenne</w:t>
            </w:r>
          </w:p>
        </w:tc>
        <w:tc>
          <w:tcPr>
            <w:tcW w:type="dxa" w:w="2100"/>
            <w:tcMar>
              <w:top w:type="dxa" w:w="100"/>
              <w:left w:type="dxa" w:w="120"/>
              <w:bottom w:type="dxa" w:w="100"/>
              <w:right w:type="dxa" w:w="120"/>
            </w:tcMar>
            <w:vAlign w:val="center"/>
          </w:tcPr>
          <w:p>
            <w:r>
              <w:rPr>
                <w:b/>
                <w:bCs/>
                <w:color w:val="1F1B2E"/>
                <w:sz w:val="18"/>
                <w:szCs w:val="18"/>
              </w:rPr>
              <w:t xml:space="preserve">Kanban reconstruit tout à chaque changement de statut</w:t>
            </w:r>
          </w:p>
        </w:tc>
        <w:tc>
          <w:tcPr>
            <w:tcW w:type="dxa" w:w="1400"/>
            <w:tcMar>
              <w:top w:type="dxa" w:w="100"/>
              <w:left w:type="dxa" w:w="120"/>
              <w:bottom w:type="dxa" w:w="100"/>
              <w:right w:type="dxa" w:w="120"/>
            </w:tcMar>
            <w:vAlign w:val="center"/>
          </w:tcPr>
          <w:p>
            <w:r>
              <w:rPr>
                <w:b w:val="false"/>
                <w:bCs w:val="false"/>
                <w:color w:val="5B5880"/>
                <w:sz w:val="17"/>
                <w:szCs w:val="17"/>
              </w:rPr>
              <w:t xml:space="preserve">SyncPlanner.html:7873</w:t>
            </w:r>
          </w:p>
        </w:tc>
        <w:tc>
          <w:tcPr>
            <w:tcW w:type="dxa" w:w="2900"/>
            <w:tcMar>
              <w:top w:type="dxa" w:w="100"/>
              <w:left w:type="dxa" w:w="120"/>
              <w:bottom w:type="dxa" w:w="100"/>
              <w:right w:type="dxa" w:w="120"/>
            </w:tcMar>
            <w:vAlign w:val="center"/>
          </w:tcPr>
          <w:p>
            <w:r>
              <w:rPr>
                <w:b w:val="false"/>
                <w:bCs w:val="false"/>
                <w:color w:val="1F1B2E"/>
                <w:sz w:val="18"/>
                <w:szCs w:val="18"/>
              </w:rPr>
              <w:t xml:space="preserve">Chaque glisser-déposer reconstruit l'intégralité des colonnes et cartes, ce qui peut créer des à-coups visuels juste après une interaction.</w:t>
            </w:r>
          </w:p>
        </w:tc>
        <w:tc>
          <w:tcPr>
            <w:tcW w:type="dxa" w:w="3040"/>
            <w:tcMar>
              <w:top w:type="dxa" w:w="100"/>
              <w:left w:type="dxa" w:w="120"/>
              <w:bottom w:type="dxa" w:w="100"/>
              <w:right w:type="dxa" w:w="120"/>
            </w:tcMar>
            <w:vAlign w:val="center"/>
          </w:tcPr>
          <w:p>
            <w:r>
              <w:rPr>
                <w:b w:val="false"/>
                <w:bCs w:val="false"/>
                <w:color w:val="1F1B2E"/>
                <w:sz w:val="18"/>
                <w:szCs w:val="18"/>
              </w:rPr>
              <w:t xml:space="preserve">Ne déplacer que la carte concernée plutôt que tout reconstruire (identifié, pas encore corrigé — risque de régression si fait à la va-vite).</w:t>
            </w:r>
          </w:p>
        </w:tc>
      </w:tr>
      <w:tr>
        <w:tc>
          <w:tcPr>
            <w:tcW w:type="dxa" w:w="1000"/>
            <w:shd w:fill="FEF9C3" w:val="clear"/>
            <w:tcMar>
              <w:top w:type="dxa" w:w="100"/>
              <w:left w:type="dxa" w:w="120"/>
              <w:bottom w:type="dxa" w:w="100"/>
              <w:right w:type="dxa" w:w="120"/>
            </w:tcMar>
            <w:vAlign w:val="center"/>
          </w:tcPr>
          <w:p>
            <w:r>
              <w:rPr>
                <w:b/>
                <w:bCs/>
                <w:color w:val="CA8A04"/>
                <w:sz w:val="18"/>
                <w:szCs w:val="18"/>
              </w:rPr>
              <w:t xml:space="preserve">Moyenne</w:t>
            </w:r>
          </w:p>
        </w:tc>
        <w:tc>
          <w:tcPr>
            <w:tcW w:type="dxa" w:w="2100"/>
            <w:tcMar>
              <w:top w:type="dxa" w:w="100"/>
              <w:left w:type="dxa" w:w="120"/>
              <w:bottom w:type="dxa" w:w="100"/>
              <w:right w:type="dxa" w:w="120"/>
            </w:tcMar>
            <w:vAlign w:val="center"/>
          </w:tcPr>
          <w:p>
            <w:r>
              <w:rPr>
                <w:b/>
                <w:bCs/>
                <w:color w:val="1F1B2E"/>
                <w:sz w:val="18"/>
                <w:szCs w:val="18"/>
              </w:rPr>
              <w:t xml:space="preserve">Aucun contrôle de cohérence sur les parts collaborateurs</w:t>
            </w:r>
          </w:p>
        </w:tc>
        <w:tc>
          <w:tcPr>
            <w:tcW w:type="dxa" w:w="1400"/>
            <w:tcMar>
              <w:top w:type="dxa" w:w="100"/>
              <w:left w:type="dxa" w:w="120"/>
              <w:bottom w:type="dxa" w:w="100"/>
              <w:right w:type="dxa" w:w="120"/>
            </w:tcMar>
            <w:vAlign w:val="center"/>
          </w:tcPr>
          <w:p>
            <w:r>
              <w:rPr>
                <w:b w:val="false"/>
                <w:bCs w:val="false"/>
                <w:color w:val="5B5880"/>
                <w:sz w:val="17"/>
                <w:szCs w:val="17"/>
              </w:rPr>
              <w:t xml:space="preserve">SyncPlanner.html:6787-6813</w:t>
            </w:r>
          </w:p>
        </w:tc>
        <w:tc>
          <w:tcPr>
            <w:tcW w:type="dxa" w:w="2900"/>
            <w:tcMar>
              <w:top w:type="dxa" w:w="100"/>
              <w:left w:type="dxa" w:w="120"/>
              <w:bottom w:type="dxa" w:w="100"/>
              <w:right w:type="dxa" w:w="120"/>
            </w:tcMar>
            <w:vAlign w:val="center"/>
          </w:tcPr>
          <w:p>
            <w:r>
              <w:rPr>
                <w:b w:val="false"/>
                <w:bCs w:val="false"/>
                <w:color w:val="1F1B2E"/>
                <w:sz w:val="18"/>
                <w:szCs w:val="18"/>
              </w:rPr>
              <w:t xml:space="preserve">Le total des parts de plusieurs collaborateurs peut dépasser 100% sans avertissement — seule "ma part" négative est détectée.</w:t>
            </w:r>
          </w:p>
        </w:tc>
        <w:tc>
          <w:tcPr>
            <w:tcW w:type="dxa" w:w="3040"/>
            <w:tcMar>
              <w:top w:type="dxa" w:w="100"/>
              <w:left w:type="dxa" w:w="120"/>
              <w:bottom w:type="dxa" w:w="100"/>
              <w:right w:type="dxa" w:w="120"/>
            </w:tcMar>
            <w:vAlign w:val="center"/>
          </w:tcPr>
          <w:p>
            <w:r>
              <w:rPr>
                <w:b w:val="false"/>
                <w:bCs w:val="false"/>
                <w:color w:val="1F1B2E"/>
                <w:sz w:val="18"/>
                <w:szCs w:val="18"/>
              </w:rPr>
              <w:t xml:space="preserve">Valider la somme des parts à chaque modification.</w:t>
            </w:r>
          </w:p>
        </w:tc>
      </w:tr>
      <w:tr>
        <w:tc>
          <w:tcPr>
            <w:tcW w:type="dxa" w:w="1000"/>
            <w:shd w:fill="F1F5F9" w:val="clear"/>
            <w:tcMar>
              <w:top w:type="dxa" w:w="100"/>
              <w:left w:type="dxa" w:w="120"/>
              <w:bottom w:type="dxa" w:w="100"/>
              <w:right w:type="dxa" w:w="120"/>
            </w:tcMar>
            <w:vAlign w:val="center"/>
          </w:tcPr>
          <w:p>
            <w:r>
              <w:rPr>
                <w:b/>
                <w:bCs/>
                <w:color w:val="5B5880"/>
                <w:sz w:val="18"/>
                <w:szCs w:val="18"/>
              </w:rPr>
              <w:t xml:space="preserve">Faible</w:t>
            </w:r>
          </w:p>
        </w:tc>
        <w:tc>
          <w:tcPr>
            <w:tcW w:type="dxa" w:w="2100"/>
            <w:tcMar>
              <w:top w:type="dxa" w:w="100"/>
              <w:left w:type="dxa" w:w="120"/>
              <w:bottom w:type="dxa" w:w="100"/>
              <w:right w:type="dxa" w:w="120"/>
            </w:tcMar>
            <w:vAlign w:val="center"/>
          </w:tcPr>
          <w:p>
            <w:r>
              <w:rPr>
                <w:b/>
                <w:bCs/>
                <w:color w:val="1F1B2E"/>
                <w:sz w:val="18"/>
                <w:szCs w:val="18"/>
              </w:rPr>
              <w:t xml:space="preserve">Fonction addTrack() dupliquée</w:t>
            </w:r>
          </w:p>
        </w:tc>
        <w:tc>
          <w:tcPr>
            <w:tcW w:type="dxa" w:w="1400"/>
            <w:tcMar>
              <w:top w:type="dxa" w:w="100"/>
              <w:left w:type="dxa" w:w="120"/>
              <w:bottom w:type="dxa" w:w="100"/>
              <w:right w:type="dxa" w:w="120"/>
            </w:tcMar>
            <w:vAlign w:val="center"/>
          </w:tcPr>
          <w:p>
            <w:r>
              <w:rPr>
                <w:b w:val="false"/>
                <w:bCs w:val="false"/>
                <w:color w:val="5B5880"/>
                <w:sz w:val="17"/>
                <w:szCs w:val="17"/>
              </w:rPr>
              <w:t xml:space="preserve">SyncPlanner.html:7762 et 7769</w:t>
            </w:r>
          </w:p>
        </w:tc>
        <w:tc>
          <w:tcPr>
            <w:tcW w:type="dxa" w:w="2900"/>
            <w:tcMar>
              <w:top w:type="dxa" w:w="100"/>
              <w:left w:type="dxa" w:w="120"/>
              <w:bottom w:type="dxa" w:w="100"/>
              <w:right w:type="dxa" w:w="120"/>
            </w:tcMar>
            <w:vAlign w:val="center"/>
          </w:tcPr>
          <w:p>
            <w:r>
              <w:rPr>
                <w:b w:val="false"/>
                <w:bCs w:val="false"/>
                <w:color w:val="1F1B2E"/>
                <w:sz w:val="18"/>
                <w:szCs w:val="18"/>
              </w:rPr>
              <w:t xml:space="preserve">Deux déclarations identiques ; la seconde écrase silencieusement la première. Sans risque aujourd'hui, mais source d'erreur si une seule copie est modifiée plus tard.</w:t>
            </w:r>
          </w:p>
        </w:tc>
        <w:tc>
          <w:tcPr>
            <w:tcW w:type="dxa" w:w="3040"/>
            <w:tcMar>
              <w:top w:type="dxa" w:w="100"/>
              <w:left w:type="dxa" w:w="120"/>
              <w:bottom w:type="dxa" w:w="100"/>
              <w:right w:type="dxa" w:w="120"/>
            </w:tcMar>
            <w:vAlign w:val="center"/>
          </w:tcPr>
          <w:p>
            <w:r>
              <w:rPr>
                <w:b w:val="false"/>
                <w:bCs w:val="false"/>
                <w:color w:val="1F1B2E"/>
                <w:sz w:val="18"/>
                <w:szCs w:val="18"/>
              </w:rPr>
              <w:t xml:space="preserve">Supprimer le doublon.</w:t>
            </w:r>
          </w:p>
        </w:tc>
      </w:tr>
      <w:tr>
        <w:tc>
          <w:tcPr>
            <w:tcW w:type="dxa" w:w="1000"/>
            <w:shd w:fill="F1F5F9" w:val="clear"/>
            <w:tcMar>
              <w:top w:type="dxa" w:w="100"/>
              <w:left w:type="dxa" w:w="120"/>
              <w:bottom w:type="dxa" w:w="100"/>
              <w:right w:type="dxa" w:w="120"/>
            </w:tcMar>
            <w:vAlign w:val="center"/>
          </w:tcPr>
          <w:p>
            <w:r>
              <w:rPr>
                <w:b/>
                <w:bCs/>
                <w:color w:val="5B5880"/>
                <w:sz w:val="18"/>
                <w:szCs w:val="18"/>
              </w:rPr>
              <w:t xml:space="preserve">Faible</w:t>
            </w:r>
          </w:p>
        </w:tc>
        <w:tc>
          <w:tcPr>
            <w:tcW w:type="dxa" w:w="2100"/>
            <w:tcMar>
              <w:top w:type="dxa" w:w="100"/>
              <w:left w:type="dxa" w:w="120"/>
              <w:bottom w:type="dxa" w:w="100"/>
              <w:right w:type="dxa" w:w="120"/>
            </w:tcMar>
            <w:vAlign w:val="center"/>
          </w:tcPr>
          <w:p>
            <w:r>
              <w:rPr>
                <w:b/>
                <w:bCs/>
                <w:color w:val="1F1B2E"/>
                <w:sz w:val="18"/>
                <w:szCs w:val="18"/>
              </w:rPr>
              <w:t xml:space="preserve">Clés de traduction dupliquées (EN)</w:t>
            </w:r>
          </w:p>
        </w:tc>
        <w:tc>
          <w:tcPr>
            <w:tcW w:type="dxa" w:w="1400"/>
            <w:tcMar>
              <w:top w:type="dxa" w:w="100"/>
              <w:left w:type="dxa" w:w="120"/>
              <w:bottom w:type="dxa" w:w="100"/>
              <w:right w:type="dxa" w:w="120"/>
            </w:tcMar>
            <w:vAlign w:val="center"/>
          </w:tcPr>
          <w:p>
            <w:r>
              <w:rPr>
                <w:b w:val="false"/>
                <w:bCs w:val="false"/>
                <w:color w:val="5B5880"/>
                <w:sz w:val="17"/>
                <w:szCs w:val="17"/>
              </w:rPr>
              <w:t xml:space="preserve">SyncPlanner.html:2555-2557</w:t>
            </w:r>
          </w:p>
        </w:tc>
        <w:tc>
          <w:tcPr>
            <w:tcW w:type="dxa" w:w="2900"/>
            <w:tcMar>
              <w:top w:type="dxa" w:w="100"/>
              <w:left w:type="dxa" w:w="120"/>
              <w:bottom w:type="dxa" w:w="100"/>
              <w:right w:type="dxa" w:w="120"/>
            </w:tcMar>
            <w:vAlign w:val="center"/>
          </w:tcPr>
          <w:p>
            <w:r>
              <w:rPr>
                <w:b w:val="false"/>
                <w:bCs w:val="false"/>
                <w:color w:val="1F1B2E"/>
                <w:sz w:val="18"/>
                <w:szCs w:val="18"/>
              </w:rPr>
              <w:t xml:space="preserve">collabs_count et collabs_total sont chacune définies deux fois avec des libellés légèrement différents.</w:t>
            </w:r>
          </w:p>
        </w:tc>
        <w:tc>
          <w:tcPr>
            <w:tcW w:type="dxa" w:w="3040"/>
            <w:tcMar>
              <w:top w:type="dxa" w:w="100"/>
              <w:left w:type="dxa" w:w="120"/>
              <w:bottom w:type="dxa" w:w="100"/>
              <w:right w:type="dxa" w:w="120"/>
            </w:tcMar>
            <w:vAlign w:val="center"/>
          </w:tcPr>
          <w:p>
            <w:r>
              <w:rPr>
                <w:b w:val="false"/>
                <w:bCs w:val="false"/>
                <w:color w:val="1F1B2E"/>
                <w:sz w:val="18"/>
                <w:szCs w:val="18"/>
              </w:rPr>
              <w:t xml:space="preserve">Nettoyer les doublons pour éviter une confusion lors d'une future édition.</w:t>
            </w:r>
          </w:p>
        </w:tc>
      </w:tr>
      <w:tr>
        <w:tc>
          <w:tcPr>
            <w:tcW w:type="dxa" w:w="1000"/>
            <w:shd w:fill="F1F5F9" w:val="clear"/>
            <w:tcMar>
              <w:top w:type="dxa" w:w="100"/>
              <w:left w:type="dxa" w:w="120"/>
              <w:bottom w:type="dxa" w:w="100"/>
              <w:right w:type="dxa" w:w="120"/>
            </w:tcMar>
            <w:vAlign w:val="center"/>
          </w:tcPr>
          <w:p>
            <w:r>
              <w:rPr>
                <w:b/>
                <w:bCs/>
                <w:color w:val="5B5880"/>
                <w:sz w:val="18"/>
                <w:szCs w:val="18"/>
              </w:rPr>
              <w:t xml:space="preserve">Faible</w:t>
            </w:r>
          </w:p>
        </w:tc>
        <w:tc>
          <w:tcPr>
            <w:tcW w:type="dxa" w:w="2100"/>
            <w:tcMar>
              <w:top w:type="dxa" w:w="100"/>
              <w:left w:type="dxa" w:w="120"/>
              <w:bottom w:type="dxa" w:w="100"/>
              <w:right w:type="dxa" w:w="120"/>
            </w:tcMar>
            <w:vAlign w:val="center"/>
          </w:tcPr>
          <w:p>
            <w:r>
              <w:rPr>
                <w:b/>
                <w:bCs/>
                <w:color w:val="1F1B2E"/>
                <w:sz w:val="18"/>
                <w:szCs w:val="18"/>
              </w:rPr>
              <w:t xml:space="preserve">Échec silencieux au chargement des données</w:t>
            </w:r>
          </w:p>
        </w:tc>
        <w:tc>
          <w:tcPr>
            <w:tcW w:type="dxa" w:w="1400"/>
            <w:tcMar>
              <w:top w:type="dxa" w:w="100"/>
              <w:left w:type="dxa" w:w="120"/>
              <w:bottom w:type="dxa" w:w="100"/>
              <w:right w:type="dxa" w:w="120"/>
            </w:tcMar>
            <w:vAlign w:val="center"/>
          </w:tcPr>
          <w:p>
            <w:r>
              <w:rPr>
                <w:b w:val="false"/>
                <w:bCs w:val="false"/>
                <w:color w:val="5B5880"/>
                <w:sz w:val="17"/>
                <w:szCs w:val="17"/>
              </w:rPr>
              <w:t xml:space="preserve">SyncPlanner.html:3263</w:t>
            </w:r>
          </w:p>
        </w:tc>
        <w:tc>
          <w:tcPr>
            <w:tcW w:type="dxa" w:w="2900"/>
            <w:tcMar>
              <w:top w:type="dxa" w:w="100"/>
              <w:left w:type="dxa" w:w="120"/>
              <w:bottom w:type="dxa" w:w="100"/>
              <w:right w:type="dxa" w:w="120"/>
            </w:tcMar>
            <w:vAlign w:val="center"/>
          </w:tcPr>
          <w:p>
            <w:r>
              <w:rPr>
                <w:b w:val="false"/>
                <w:bCs w:val="false"/>
                <w:color w:val="1F1B2E"/>
                <w:sz w:val="18"/>
                <w:szCs w:val="18"/>
              </w:rPr>
              <w:t xml:space="preserve">Si le fichier de sauvegarde est corrompu, l'appli repart sur des données par défaut sans prévenir qu'un catalogue existant a disparu.</w:t>
            </w:r>
          </w:p>
        </w:tc>
        <w:tc>
          <w:tcPr>
            <w:tcW w:type="dxa" w:w="3040"/>
            <w:tcMar>
              <w:top w:type="dxa" w:w="100"/>
              <w:left w:type="dxa" w:w="120"/>
              <w:bottom w:type="dxa" w:w="100"/>
              <w:right w:type="dxa" w:w="120"/>
            </w:tcMar>
            <w:vAlign w:val="center"/>
          </w:tcPr>
          <w:p>
            <w:r>
              <w:rPr>
                <w:b w:val="false"/>
                <w:bCs w:val="false"/>
                <w:color w:val="1F1B2E"/>
                <w:sz w:val="18"/>
                <w:szCs w:val="18"/>
              </w:rPr>
              <w:t xml:space="preserve">Afficher un avertissement explicite en cas d'échec de lecture.</w:t>
            </w:r>
          </w:p>
        </w:tc>
      </w:tr>
      <w:tr>
        <w:tc>
          <w:tcPr>
            <w:tcW w:type="dxa" w:w="1000"/>
            <w:shd w:fill="F1F5F9" w:val="clear"/>
            <w:tcMar>
              <w:top w:type="dxa" w:w="100"/>
              <w:left w:type="dxa" w:w="120"/>
              <w:bottom w:type="dxa" w:w="100"/>
              <w:right w:type="dxa" w:w="120"/>
            </w:tcMar>
            <w:vAlign w:val="center"/>
          </w:tcPr>
          <w:p>
            <w:r>
              <w:rPr>
                <w:b/>
                <w:bCs/>
                <w:color w:val="5B5880"/>
                <w:sz w:val="18"/>
                <w:szCs w:val="18"/>
              </w:rPr>
              <w:t xml:space="preserve">Faible</w:t>
            </w:r>
          </w:p>
        </w:tc>
        <w:tc>
          <w:tcPr>
            <w:tcW w:type="dxa" w:w="2100"/>
            <w:tcMar>
              <w:top w:type="dxa" w:w="100"/>
              <w:left w:type="dxa" w:w="120"/>
              <w:bottom w:type="dxa" w:w="100"/>
              <w:right w:type="dxa" w:w="120"/>
            </w:tcMar>
            <w:vAlign w:val="center"/>
          </w:tcPr>
          <w:p>
            <w:r>
              <w:rPr>
                <w:b/>
                <w:bCs/>
                <w:color w:val="1F1B2E"/>
                <w:sz w:val="18"/>
                <w:szCs w:val="18"/>
              </w:rPr>
              <w:t xml:space="preserve">Carte "Rentabilité par mood" désactivée en dur</w:t>
            </w:r>
          </w:p>
        </w:tc>
        <w:tc>
          <w:tcPr>
            <w:tcW w:type="dxa" w:w="1400"/>
            <w:tcMar>
              <w:top w:type="dxa" w:w="100"/>
              <w:left w:type="dxa" w:w="120"/>
              <w:bottom w:type="dxa" w:w="100"/>
              <w:right w:type="dxa" w:w="120"/>
            </w:tcMar>
            <w:vAlign w:val="center"/>
          </w:tcPr>
          <w:p>
            <w:r>
              <w:rPr>
                <w:b w:val="false"/>
                <w:bCs w:val="false"/>
                <w:color w:val="5B5880"/>
                <w:sz w:val="17"/>
                <w:szCs w:val="17"/>
              </w:rPr>
              <w:t xml:space="preserve">SyncPlanner.html:4679</w:t>
            </w:r>
          </w:p>
        </w:tc>
        <w:tc>
          <w:tcPr>
            <w:tcW w:type="dxa" w:w="2900"/>
            <w:tcMar>
              <w:top w:type="dxa" w:w="100"/>
              <w:left w:type="dxa" w:w="120"/>
              <w:bottom w:type="dxa" w:w="100"/>
              <w:right w:type="dxa" w:w="120"/>
            </w:tcMar>
            <w:vAlign w:val="center"/>
          </w:tcPr>
          <w:p>
            <w:r>
              <w:rPr>
                <w:b w:val="false"/>
                <w:bCs w:val="false"/>
                <w:color w:val="1F1B2E"/>
                <w:sz w:val="18"/>
                <w:szCs w:val="18"/>
              </w:rPr>
              <w:t xml:space="preserve">Le code reste présent mais éteint (SACEM_MOOD_CARD_ENABLED = false) depuis la refonte de cette session — poids mort si non repris.</w:t>
            </w:r>
          </w:p>
        </w:tc>
        <w:tc>
          <w:tcPr>
            <w:tcW w:type="dxa" w:w="3040"/>
            <w:tcMar>
              <w:top w:type="dxa" w:w="100"/>
              <w:left w:type="dxa" w:w="120"/>
              <w:bottom w:type="dxa" w:w="100"/>
              <w:right w:type="dxa" w:w="120"/>
            </w:tcMar>
            <w:vAlign w:val="center"/>
          </w:tcPr>
          <w:p>
            <w:r>
              <w:rPr>
                <w:b w:val="false"/>
                <w:bCs w:val="false"/>
                <w:color w:val="1F1B2E"/>
                <w:sz w:val="18"/>
                <w:szCs w:val="18"/>
              </w:rPr>
              <w:t xml:space="preserve">Retirer si abandonné définitivement, ou ressortir avec un angle affiné (cf. discussion sur le regroupement par mood).</w:t>
            </w:r>
          </w:p>
        </w:tc>
      </w:tr>
    </w:tbl>
    <w:p>
      <w:pPr>
        <w:pStyle w:val="Heading1"/>
        <w:pBdr>
          <w:bottom w:val="single" w:color="6D28D9" w:sz="6"/>
        </w:pBdr>
        <w:spacing w:after="160" w:before="360"/>
      </w:pPr>
      <w:r>
        <w:rPr>
          <w:b/>
          <w:bCs/>
          <w:color w:val="1F1B2E"/>
          <w:sz w:val="30"/>
          <w:szCs w:val="30"/>
        </w:rPr>
        <w:t xml:space="preserve">Plan d'action priorisé</w:t>
      </w:r>
    </w:p>
    <w:p>
      <w:pPr>
        <w:spacing w:after="100"/>
      </w:pPr>
      <w:r>
        <w:rPr>
          <w:b/>
          <w:bCs/>
          <w:color w:val="6D28D9"/>
          <w:sz w:val="21"/>
          <w:szCs w:val="21"/>
        </w:rPr>
        <w:t xml:space="preserve">1. </w:t>
      </w:r>
      <w:r>
        <w:rPr>
          <w:color w:val="1F1B2E"/>
          <w:sz w:val="21"/>
          <w:szCs w:val="21"/>
        </w:rPr>
        <w:t xml:space="preserve">Forcer l'enregistrement à la fermeture de l'appli — corrige le seul vrai risque de perte de données identifié.</w:t>
      </w:r>
    </w:p>
    <w:p>
      <w:pPr>
        <w:spacing w:after="100"/>
      </w:pPr>
      <w:r>
        <w:rPr>
          <w:b/>
          <w:bCs/>
          <w:color w:val="6D28D9"/>
          <w:sz w:val="21"/>
          <w:szCs w:val="21"/>
        </w:rPr>
        <w:t xml:space="preserve">2. </w:t>
      </w:r>
      <w:r>
        <w:rPr>
          <w:color w:val="1F1B2E"/>
          <w:sz w:val="21"/>
          <w:szCs w:val="21"/>
        </w:rPr>
        <w:t xml:space="preserve">Ajouter une confirmation avant l'import JSON qui écrase tout le catalogue.</w:t>
      </w:r>
    </w:p>
    <w:p>
      <w:pPr>
        <w:spacing w:after="100"/>
      </w:pPr>
      <w:r>
        <w:rPr>
          <w:b/>
          <w:bCs/>
          <w:color w:val="6D28D9"/>
          <w:sz w:val="21"/>
          <w:szCs w:val="21"/>
        </w:rPr>
        <w:t xml:space="preserve">3. </w:t>
      </w:r>
      <w:r>
        <w:rPr>
          <w:color w:val="1F1B2E"/>
          <w:sz w:val="21"/>
          <w:szCs w:val="21"/>
        </w:rPr>
        <w:t xml:space="preserve">Corriger le rafraîchissement du Kanban après confirmation de la date d'envoi.</w:t>
      </w:r>
    </w:p>
    <w:p>
      <w:pPr>
        <w:spacing w:after="100"/>
      </w:pPr>
      <w:r>
        <w:rPr>
          <w:b/>
          <w:bCs/>
          <w:color w:val="6D28D9"/>
          <w:sz w:val="21"/>
          <w:szCs w:val="21"/>
        </w:rPr>
        <w:t xml:space="preserve">4. </w:t>
      </w:r>
      <w:r>
        <w:rPr>
          <w:color w:val="1F1B2E"/>
          <w:sz w:val="21"/>
          <w:szCs w:val="21"/>
        </w:rPr>
        <w:t xml:space="preserve">Séparer l'historique "vraies actions" des sauvegardes automatiques Logic Pro, pour que Cmd+Z reste utile.</w:t>
      </w:r>
    </w:p>
    <w:p>
      <w:pPr>
        <w:spacing w:after="100"/>
      </w:pPr>
      <w:r>
        <w:rPr>
          <w:b/>
          <w:bCs/>
          <w:color w:val="6D28D9"/>
          <w:sz w:val="21"/>
          <w:szCs w:val="21"/>
        </w:rPr>
        <w:t xml:space="preserve">5. </w:t>
      </w:r>
      <w:r>
        <w:rPr>
          <w:color w:val="1F1B2E"/>
          <w:sz w:val="21"/>
          <w:szCs w:val="21"/>
        </w:rPr>
        <w:t xml:space="preserve">Harmoniser les confirmations de suppression (track, collaborateur) avec celle déjà en place sur les albums.</w:t>
      </w:r>
    </w:p>
    <w:p>
      <w:pPr>
        <w:spacing w:after="100"/>
      </w:pPr>
      <w:r>
        <w:rPr>
          <w:b/>
          <w:bCs/>
          <w:color w:val="6D28D9"/>
          <w:sz w:val="21"/>
          <w:szCs w:val="21"/>
        </w:rPr>
        <w:t xml:space="preserve">6. </w:t>
      </w:r>
      <w:r>
        <w:rPr>
          <w:color w:val="1F1B2E"/>
          <w:sz w:val="21"/>
          <w:szCs w:val="21"/>
        </w:rPr>
        <w:t xml:space="preserve">Optimiser le Kanban pour ne déplacer que la carte concernée plutôt que tout reconstruire — à traiter avec soin pour ne pas introduire de régression.</w:t>
      </w:r>
    </w:p>
    <w:p>
      <w:pPr>
        <w:spacing w:after="100"/>
      </w:pPr>
      <w:r>
        <w:rPr>
          <w:b/>
          <w:bCs/>
          <w:color w:val="6D28D9"/>
          <w:sz w:val="21"/>
          <w:szCs w:val="21"/>
        </w:rPr>
        <w:t xml:space="preserve">7. </w:t>
      </w:r>
      <w:r>
        <w:rPr>
          <w:color w:val="1F1B2E"/>
          <w:sz w:val="21"/>
          <w:szCs w:val="21"/>
        </w:rPr>
        <w:t xml:space="preserve">Nettoyage de code mineur : fonction dupliquée, clés de traduction en double, flag mood désactivé à retirer ou réactiver.</w:t>
      </w:r>
    </w:p>
    <w:p>
      <w:pPr>
        <w:pStyle w:val="Heading1"/>
        <w:pBdr>
          <w:bottom w:val="single" w:color="6D28D9" w:sz="6"/>
        </w:pBdr>
        <w:spacing w:after="160" w:before="360"/>
      </w:pPr>
      <w:r>
        <w:rPr>
          <w:b/>
          <w:bCs/>
          <w:color w:val="1F1B2E"/>
          <w:sz w:val="30"/>
          <w:szCs w:val="30"/>
        </w:rPr>
        <w:t xml:space="preserve">Comparaison avec le marché</w:t>
      </w:r>
    </w:p>
    <w:p>
      <w:pPr>
        <w:spacing w:after="160" w:line="300"/>
      </w:pPr>
      <w:r>
        <w:rPr>
          <w:color w:val="1F1B2E"/>
          <w:sz w:val="21"/>
          <w:szCs w:val="21"/>
        </w:rPr>
        <w:t xml:space="preserve">Trois familles d'outils existent pour un profil comme le tien : plateformes de pitch/découverte, plateformes de gestion de royalties, et outils de gestion de projet musical généralistes. SYNC.PLANNER emprunte des éléments aux deux dernières catégories, en version resserrée pour un usage solo.</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3100"/>
        <w:gridCol w:w="3240"/>
      </w:tblGrid>
      <w:tr>
        <w:trPr>
          <w:tblHeader/>
        </w:trPr>
        <w:tc>
          <w:tcPr>
            <w:tcW w:type="dxa" w:w="1800"/>
            <w:shd w:fill="1F1B2E" w:val="clear"/>
            <w:tcMar>
              <w:top w:type="dxa" w:w="100"/>
              <w:left w:type="dxa" w:w="120"/>
              <w:bottom w:type="dxa" w:w="100"/>
              <w:right w:type="dxa" w:w="120"/>
            </w:tcMar>
            <w:vAlign w:val="center"/>
          </w:tcPr>
          <w:p>
            <w:r>
              <w:rPr>
                <w:b/>
                <w:bCs/>
                <w:color w:val="FFFFFF"/>
                <w:sz w:val="18"/>
                <w:szCs w:val="18"/>
              </w:rPr>
              <w:t xml:space="preserve">Catégorie</w:t>
            </w:r>
          </w:p>
        </w:tc>
        <w:tc>
          <w:tcPr>
            <w:tcW w:type="dxa" w:w="2300"/>
            <w:shd w:fill="1F1B2E" w:val="clear"/>
            <w:tcMar>
              <w:top w:type="dxa" w:w="100"/>
              <w:left w:type="dxa" w:w="120"/>
              <w:bottom w:type="dxa" w:w="100"/>
              <w:right w:type="dxa" w:w="120"/>
            </w:tcMar>
            <w:vAlign w:val="center"/>
          </w:tcPr>
          <w:p>
            <w:r>
              <w:rPr>
                <w:b/>
                <w:bCs/>
                <w:color w:val="FFFFFF"/>
                <w:sz w:val="18"/>
                <w:szCs w:val="18"/>
              </w:rPr>
              <w:t xml:space="preserve">Exemples marché</w:t>
            </w:r>
          </w:p>
        </w:tc>
        <w:tc>
          <w:tcPr>
            <w:tcW w:type="dxa" w:w="3100"/>
            <w:shd w:fill="1F1B2E" w:val="clear"/>
            <w:tcMar>
              <w:top w:type="dxa" w:w="100"/>
              <w:left w:type="dxa" w:w="120"/>
              <w:bottom w:type="dxa" w:w="100"/>
              <w:right w:type="dxa" w:w="120"/>
            </w:tcMar>
            <w:vAlign w:val="center"/>
          </w:tcPr>
          <w:p>
            <w:r>
              <w:rPr>
                <w:b/>
                <w:bCs/>
                <w:color w:val="FFFFFF"/>
                <w:sz w:val="18"/>
                <w:szCs w:val="18"/>
              </w:rPr>
              <w:t xml:space="preserve">Ce qu'ils apportent en plus</w:t>
            </w:r>
          </w:p>
        </w:tc>
        <w:tc>
          <w:tcPr>
            <w:tcW w:type="dxa" w:w="3240"/>
            <w:shd w:fill="1F1B2E" w:val="clear"/>
            <w:tcMar>
              <w:top w:type="dxa" w:w="100"/>
              <w:left w:type="dxa" w:w="120"/>
              <w:bottom w:type="dxa" w:w="100"/>
              <w:right w:type="dxa" w:w="120"/>
            </w:tcMar>
            <w:vAlign w:val="center"/>
          </w:tcPr>
          <w:p>
            <w:r>
              <w:rPr>
                <w:b/>
                <w:bCs/>
                <w:color w:val="FFFFFF"/>
                <w:sz w:val="18"/>
                <w:szCs w:val="18"/>
              </w:rPr>
              <w:t xml:space="preserve">Où se situe SYNC.PLANNER</w:t>
            </w:r>
          </w:p>
        </w:tc>
      </w:tr>
      <w:tr>
        <w:tc>
          <w:tcPr>
            <w:tcMar>
              <w:top w:type="dxa" w:w="100"/>
              <w:left w:type="dxa" w:w="120"/>
              <w:bottom w:type="dxa" w:w="100"/>
              <w:right w:type="dxa" w:w="120"/>
            </w:tcMar>
            <w:vAlign w:val="center"/>
          </w:tcPr>
          <w:p>
            <w:r>
              <w:rPr>
                <w:b w:val="false"/>
                <w:bCs w:val="false"/>
                <w:color w:val="1F1B2E"/>
                <w:sz w:val="19"/>
                <w:szCs w:val="19"/>
              </w:rPr>
              <w:t xml:space="preserve">Plateformes de pitch sync</w:t>
            </w:r>
          </w:p>
        </w:tc>
        <w:tc>
          <w:tcPr>
            <w:tcMar>
              <w:top w:type="dxa" w:w="100"/>
              <w:left w:type="dxa" w:w="120"/>
              <w:bottom w:type="dxa" w:w="100"/>
              <w:right w:type="dxa" w:w="120"/>
            </w:tcMar>
            <w:vAlign w:val="center"/>
          </w:tcPr>
          <w:p>
            <w:r>
              <w:rPr>
                <w:b w:val="false"/>
                <w:bCs w:val="false"/>
                <w:color w:val="1F1B2E"/>
                <w:sz w:val="19"/>
                <w:szCs w:val="19"/>
              </w:rPr>
              <w:t xml:space="preserve">Dropcue, Musicbed, Songtradr</w:t>
            </w:r>
          </w:p>
        </w:tc>
        <w:tc>
          <w:tcPr>
            <w:tcMar>
              <w:top w:type="dxa" w:w="100"/>
              <w:left w:type="dxa" w:w="120"/>
              <w:bottom w:type="dxa" w:w="100"/>
              <w:right w:type="dxa" w:w="120"/>
            </w:tcMar>
            <w:vAlign w:val="center"/>
          </w:tcPr>
          <w:p>
            <w:r>
              <w:rPr>
                <w:b w:val="false"/>
                <w:bCs w:val="false"/>
                <w:color w:val="1F1B2E"/>
                <w:sz w:val="19"/>
                <w:szCs w:val="19"/>
              </w:rPr>
              <w:t xml:space="preserve">Boîte de réception de briefs, analytics d'écoute par destinataire (qui a écouté quoi, combien de temps), envoi de playlists ciblées, métadonnées générées par IA (BPM, clé, description de cue).</w:t>
            </w:r>
          </w:p>
        </w:tc>
        <w:tc>
          <w:tcPr>
            <w:tcMar>
              <w:top w:type="dxa" w:w="100"/>
              <w:left w:type="dxa" w:w="120"/>
              <w:bottom w:type="dxa" w:w="100"/>
              <w:right w:type="dxa" w:w="120"/>
            </w:tcMar>
            <w:vAlign w:val="center"/>
          </w:tcPr>
          <w:p>
            <w:r>
              <w:rPr>
                <w:b w:val="false"/>
                <w:bCs w:val="false"/>
                <w:color w:val="1F1B2E"/>
                <w:sz w:val="19"/>
                <w:szCs w:val="19"/>
              </w:rPr>
              <w:t xml:space="preserve">SYNC.PLANNER ne gère pas la découverte/pitch de tracks à des superviseurs — il suit ce qui a DÉJÀ été placé, pas la recherche de nouveaux placements. Écart assumé (usage différent), mais à noter si l'objectif évolue.</w:t>
            </w:r>
          </w:p>
        </w:tc>
      </w:tr>
      <w:tr>
        <w:tc>
          <w:tcPr>
            <w:tcMar>
              <w:top w:type="dxa" w:w="100"/>
              <w:left w:type="dxa" w:w="120"/>
              <w:bottom w:type="dxa" w:w="100"/>
              <w:right w:type="dxa" w:w="120"/>
            </w:tcMar>
            <w:vAlign w:val="center"/>
          </w:tcPr>
          <w:p>
            <w:r>
              <w:rPr>
                <w:b w:val="false"/>
                <w:bCs w:val="false"/>
                <w:color w:val="1F1B2E"/>
                <w:sz w:val="19"/>
                <w:szCs w:val="19"/>
              </w:rPr>
              <w:t xml:space="preserve">Plateformes de royalties</w:t>
            </w:r>
          </w:p>
        </w:tc>
        <w:tc>
          <w:tcPr>
            <w:tcMar>
              <w:top w:type="dxa" w:w="100"/>
              <w:left w:type="dxa" w:w="120"/>
              <w:bottom w:type="dxa" w:w="100"/>
              <w:right w:type="dxa" w:w="120"/>
            </w:tcMar>
            <w:vAlign w:val="center"/>
          </w:tcPr>
          <w:p>
            <w:r>
              <w:rPr>
                <w:b w:val="false"/>
                <w:bCs w:val="false"/>
                <w:color w:val="1F1B2E"/>
                <w:sz w:val="19"/>
                <w:szCs w:val="19"/>
              </w:rPr>
              <w:t xml:space="preserve">Curve Royalty Systems, Songtrust, Curve Lite</w:t>
            </w:r>
          </w:p>
        </w:tc>
        <w:tc>
          <w:tcPr>
            <w:tcMar>
              <w:top w:type="dxa" w:w="100"/>
              <w:left w:type="dxa" w:w="120"/>
              <w:bottom w:type="dxa" w:w="100"/>
              <w:right w:type="dxa" w:w="120"/>
            </w:tcMar>
            <w:vAlign w:val="center"/>
          </w:tcPr>
          <w:p>
            <w:r>
              <w:rPr>
                <w:b w:val="false"/>
                <w:bCs w:val="false"/>
                <w:color w:val="1F1B2E"/>
                <w:sz w:val="19"/>
                <w:szCs w:val="19"/>
              </w:rPr>
              <w:t xml:space="preserve">Ingestion multi-société (pas seulement SACEM), tableaux de bord par territoire/source de revenu, prévisions basées sur l'historique, alertes de sous-paiement.</w:t>
            </w:r>
          </w:p>
        </w:tc>
        <w:tc>
          <w:tcPr>
            <w:tcMar>
              <w:top w:type="dxa" w:w="100"/>
              <w:left w:type="dxa" w:w="120"/>
              <w:bottom w:type="dxa" w:w="100"/>
              <w:right w:type="dxa" w:w="120"/>
            </w:tcMar>
            <w:vAlign w:val="center"/>
          </w:tcPr>
          <w:p>
            <w:r>
              <w:rPr>
                <w:b w:val="false"/>
                <w:bCs w:val="false"/>
                <w:color w:val="1F1B2E"/>
                <w:sz w:val="19"/>
                <w:szCs w:val="19"/>
              </w:rPr>
              <w:t xml:space="preserve">SYNC.PLANNER couvre déjà bien l'essentiel pour un usage solo (import CSV, matching automatique, ROI temps/revenu, évolution trimestrielle) — l'écart est surtout le multi-société (SACEM uniquement) et l'absence de prévision.</w:t>
            </w:r>
          </w:p>
        </w:tc>
      </w:tr>
      <w:tr>
        <w:tc>
          <w:tcPr>
            <w:tcMar>
              <w:top w:type="dxa" w:w="100"/>
              <w:left w:type="dxa" w:w="120"/>
              <w:bottom w:type="dxa" w:w="100"/>
              <w:right w:type="dxa" w:w="120"/>
            </w:tcMar>
            <w:vAlign w:val="center"/>
          </w:tcPr>
          <w:p>
            <w:r>
              <w:rPr>
                <w:b w:val="false"/>
                <w:bCs w:val="false"/>
                <w:color w:val="1F1B2E"/>
                <w:sz w:val="19"/>
                <w:szCs w:val="19"/>
              </w:rPr>
              <w:t xml:space="preserve">Gestion de projet musique</w:t>
            </w:r>
          </w:p>
        </w:tc>
        <w:tc>
          <w:tcPr>
            <w:tcMar>
              <w:top w:type="dxa" w:w="100"/>
              <w:left w:type="dxa" w:w="120"/>
              <w:bottom w:type="dxa" w:w="100"/>
              <w:right w:type="dxa" w:w="120"/>
            </w:tcMar>
            <w:vAlign w:val="center"/>
          </w:tcPr>
          <w:p>
            <w:r>
              <w:rPr>
                <w:b w:val="false"/>
                <w:bCs w:val="false"/>
                <w:color w:val="1F1B2E"/>
                <w:sz w:val="19"/>
                <w:szCs w:val="19"/>
              </w:rPr>
              <w:t xml:space="preserve">MixHaven, Opusonix, Notion/Asana adaptés</w:t>
            </w:r>
          </w:p>
        </w:tc>
        <w:tc>
          <w:tcPr>
            <w:tcMar>
              <w:top w:type="dxa" w:w="100"/>
              <w:left w:type="dxa" w:w="120"/>
              <w:bottom w:type="dxa" w:w="100"/>
              <w:right w:type="dxa" w:w="120"/>
            </w:tcMar>
            <w:vAlign w:val="center"/>
          </w:tcPr>
          <w:p>
            <w:r>
              <w:rPr>
                <w:b w:val="false"/>
                <w:bCs w:val="false"/>
                <w:color w:val="1F1B2E"/>
                <w:sz w:val="19"/>
                <w:szCs w:val="19"/>
              </w:rPr>
              <w:t xml:space="preserve">Suivi collaboratif (plusieurs intervenants), templates de workflow, intégrations calendrier/facturation.</w:t>
            </w:r>
          </w:p>
        </w:tc>
        <w:tc>
          <w:tcPr>
            <w:tcMar>
              <w:top w:type="dxa" w:w="100"/>
              <w:left w:type="dxa" w:w="120"/>
              <w:bottom w:type="dxa" w:w="100"/>
              <w:right w:type="dxa" w:w="120"/>
            </w:tcMar>
            <w:vAlign w:val="center"/>
          </w:tcPr>
          <w:p>
            <w:r>
              <w:rPr>
                <w:b w:val="false"/>
                <w:bCs w:val="false"/>
                <w:color w:val="1F1B2E"/>
                <w:sz w:val="19"/>
                <w:szCs w:val="19"/>
              </w:rPr>
              <w:t xml:space="preserve">SYNC.PLANNER est plus spécialisé (deadlines, statuts de production, Kanban) mais pensé pour un usage solo — cohérent avec le besoin actuel, pas un manque à combler sauf si le travail devient collaboratif.</w:t>
            </w:r>
          </w:p>
        </w:tc>
      </w:tr>
    </w:tbl>
    <w:p>
      <w:pPr>
        <w:pStyle w:val="Heading1"/>
        <w:pBdr>
          <w:bottom w:val="single" w:color="6D28D9" w:sz="6"/>
        </w:pBdr>
        <w:spacing w:after="160" w:before="360"/>
      </w:pPr>
      <w:r>
        <w:rPr>
          <w:b/>
          <w:bCs/>
          <w:color w:val="1F1B2E"/>
          <w:sz w:val="30"/>
          <w:szCs w:val="30"/>
        </w:rPr>
        <w:t xml:space="preserve">Faut-il ajouter des onglets ou des stats ?</w:t>
      </w:r>
    </w:p>
    <w:p>
      <w:pPr>
        <w:spacing w:after="160" w:line="300"/>
      </w:pPr>
      <w:r>
        <w:rPr>
          <w:color w:val="1F1B2E"/>
          <w:sz w:val="21"/>
          <w:szCs w:val="21"/>
        </w:rPr>
        <w:t xml:space="preserve">Au vu de la comparaison marché, trois pistes ressortent — aucune n'est urgente, mais elles comblent des écarts réels par rapport à ce que proposent les outils de royalties plus matures :</w:t>
      </w:r>
    </w:p>
    <w:p>
      <w:pPr>
        <w:pStyle w:val="ListParagraph"/>
        <w:numPr>
          <w:ilvl w:val="0"/>
          <w:numId w:val="1"/>
        </w:numPr>
        <w:spacing w:after="90"/>
      </w:pPr>
      <w:r>
        <w:rPr>
          <w:color w:val="1F1B2E"/>
          <w:sz w:val="21"/>
          <w:szCs w:val="21"/>
        </w:rPr>
        <w:t xml:space="preserve">Prévision de revenu — une simple projection "si la tendance actuelle se maintient" sur l'onglet Évolution, en s'appuyant sur les trimestres déjà complets (les plateformes de royalties matures type Curve le proposent en standard).</w:t>
      </w:r>
    </w:p>
    <w:p>
      <w:pPr>
        <w:pStyle w:val="ListParagraph"/>
        <w:numPr>
          <w:ilvl w:val="0"/>
          <w:numId w:val="1"/>
        </w:numPr>
        <w:spacing w:after="90"/>
      </w:pPr>
      <w:r>
        <w:rPr>
          <w:color w:val="1F1B2E"/>
          <w:sz w:val="21"/>
          <w:szCs w:val="21"/>
        </w:rPr>
        <w:t xml:space="preserve">Alerte de sous-paiement / anomalie — signaler automatiquement un trimestre ou une track dont le revenu chute anormalement par rapport à son historique, plutôt que de compter sur un repérage visuel.</w:t>
      </w:r>
    </w:p>
    <w:p>
      <w:pPr>
        <w:pStyle w:val="ListParagraph"/>
        <w:numPr>
          <w:ilvl w:val="0"/>
          <w:numId w:val="1"/>
        </w:numPr>
        <w:spacing w:after="90"/>
      </w:pPr>
      <w:r>
        <w:rPr>
          <w:color w:val="1F1B2E"/>
          <w:sz w:val="21"/>
          <w:szCs w:val="21"/>
        </w:rPr>
        <w:t xml:space="preserve">Vue multi-société si un jour tu factures via d'autres sociétés de gestion que la SACEM (SDRM, sociétés étrangères en direct) — actuellement l'app suppose un seul type de relevé.</w:t>
      </w:r>
    </w:p>
    <w:p>
      <w:pPr>
        <w:spacing w:after="160" w:line="300"/>
      </w:pPr>
      <w:r>
        <w:rPr>
          <w:color w:val="1F1B2E"/>
          <w:sz w:val="21"/>
          <w:szCs w:val="21"/>
        </w:rPr>
        <w:t xml:space="preserve">À l'inverse, les fonctionnalités de pitch/découverte (boîte de réception de briefs, CRM superviseurs, analytics d'écoute par destinataire) ne semblent pas pertinentes pour l'usage actuel de l'outil, qui suit des placements déjà réalisés plutôt que la prospection — à ne considérer que si l'objectif de l'app évolue vers la recherche de nouveaux placements.</w:t>
      </w:r>
    </w:p>
    <w:p>
      <w:pPr>
        <w:pStyle w:val="Heading1"/>
        <w:pBdr>
          <w:bottom w:val="single" w:color="6D28D9" w:sz="6"/>
        </w:pBdr>
        <w:spacing w:after="160" w:before="360"/>
      </w:pPr>
      <w:r>
        <w:rPr>
          <w:b/>
          <w:bCs/>
          <w:color w:val="1F1B2E"/>
          <w:sz w:val="30"/>
          <w:szCs w:val="30"/>
        </w:rPr>
        <w:t xml:space="preserve">Conclusion</w:t>
      </w:r>
    </w:p>
    <w:p>
      <w:pPr>
        <w:spacing w:after="160" w:line="300"/>
      </w:pPr>
      <w:r>
        <w:rPr>
          <w:color w:val="1F1B2E"/>
          <w:sz w:val="21"/>
          <w:szCs w:val="21"/>
        </w:rPr>
        <w:t xml:space="preserve">L'app est saine pour un usage quotidien solo. La priorité immédiate est la fiabilité de la sauvegarde (fermeture de l'appli, import JSON) plutôt que de nouvelles fonctionnalités — c'est le seul point qui pourrait réellement coûter du travail. Les pistes de nouveaux onglets/stats identifiées via la comparaison marché sont des compléments à envisager une fois ces corrections faites, pas des urgences.</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2026-08-28T14:25:29.602Z</dcterms:created>
  <dcterms:modified xsi:type="dcterms:W3CDTF">2026-08-28T14:25:29.602Z</dcterms:modified>
</cp:coreProperties>
</file>

<file path=docProps/custom.xml><?xml version="1.0" encoding="utf-8"?>
<Properties xmlns="http://schemas.openxmlformats.org/officeDocument/2006/custom-properties" xmlns:vt="http://schemas.openxmlformats.org/officeDocument/2006/docPropsVTypes"/>
</file>