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Workflow 示例：针对COPD治疗的LBP人工开发全流程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本流程以“开发可治疗/缓解COPD急性加重的呼吸道LBP”为核心目标，完全模拟人工药物开发工程师的操作逻辑，涵盖从需求分析到商业化落地的全环节。流程设计严格对标LBP核心性能要求，其中“Top 1核心生存能力”指标作为各阶段必达标准，“Top 2差异化能力”“Top 3商业化能力”及加分项作为阶段进阶目标，确保开发方向与临床及市场需求一致。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第一模块：开发前置——需求锚定与核心指标拆解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本阶段核心任务是明确COPD临床痛点与LBP开发的核心关联，将抽象的性能要求转化为可落地的技术指标，为后续开发提供明确依据。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COPD临床需求与靶点确认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临床痛点调研</w:t>
      </w:r>
      <w:r>
        <w:rPr>
          <w:rFonts w:eastAsia="等线" w:ascii="Arial" w:cs="Arial" w:hAnsi="Arial"/>
          <w:sz w:val="22"/>
        </w:rPr>
        <w:t>：通过检索COPD诊疗指南（如GOLD指南）、临床研究文献及医院呼吸科调研，明确核心需求：①COPD急性加重的主要诱因是铜绿假单胞菌、金黄色葡萄球菌等病原菌感染；②患者存在持续肺部慢性炎症，加重肺功能损伤；③现有治疗（抗生素、激素）易导致耐药性及免疫紊乱；④患者需便捷给药方式以提高院外依从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核心靶点锚定</w:t>
      </w:r>
      <w:r>
        <w:rPr>
          <w:rFonts w:eastAsia="等线" w:ascii="Arial" w:cs="Arial" w:hAnsi="Arial"/>
          <w:sz w:val="22"/>
        </w:rPr>
        <w:t>：基于痛点确定LBP开发的三大核心靶点：①针对铜绿假单胞菌/金葡菌的抑制能力；②调节肺部炎症微环境（如降低IL-6、TNF-α等炎症因子）；③具备肺部定植能力以实现长效作用。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LBP性能指标拆解与优先级排序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将LBP性能要求转化为可量化的技术指标，并按“核心生存-差异化-商业化”排序，明确各阶段验收标准：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0"/>
              </w:rPr>
              <w:t>知识库检索提升方案</w:t>
            </w:r>
            <w:bookmarkEnd w:id="3"/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检索目标</w:t>
            </w:r>
            <w:r>
              <w:rPr>
                <w:rFonts w:eastAsia="等线" w:ascii="Arial" w:cs="Arial" w:hAnsi="Arial"/>
                <w:sz w:val="22"/>
              </w:rPr>
              <w:t>：获取同类LBP或呼吸道生物制剂的已验证指标，减少自主摸索成本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检索关键词</w:t>
            </w:r>
            <w:r>
              <w:rPr>
                <w:rFonts w:eastAsia="等线" w:ascii="Arial" w:cs="Arial" w:hAnsi="Arial"/>
                <w:sz w:val="22"/>
              </w:rPr>
              <w:t>：“呼吸道LBP 性能指标”“COPD 活体生物治疗 临床前指标”“FDA LBP 指导原则 量化标准”“铜绿假单胞菌 生物膜清除 有效阈值”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文献类型</w:t>
            </w:r>
            <w:r>
              <w:rPr>
                <w:rFonts w:eastAsia="等线" w:ascii="Arial" w:cs="Arial" w:hAnsi="Arial"/>
                <w:sz w:val="22"/>
              </w:rPr>
              <w:t>：已上市/临床阶段LBP的公开研究数据、FDA/EMA发布的LBP监管指南、COPD生物治疗领域Meta分析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应用价值</w:t>
            </w:r>
            <w:r>
              <w:rPr>
                <w:rFonts w:eastAsia="等线" w:ascii="Arial" w:cs="Arial" w:hAnsi="Arial"/>
                <w:sz w:val="22"/>
              </w:rPr>
              <w:t>：直接参考权威指南中的安全性指标（如耐药基因检测范围）、临床前研究中已验证的抑菌圈直径阈值，避免指标设定过严或过松导致的实验浪费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可量化技术指标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1（核心生存）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肺部稳定定植并保持活性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定植后7-14天肺部菌株检出率≥80%，活性保持率≥90%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动物模型肺部组织培养+活性检测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抑制核心病原菌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对铜绿假单胞菌/金葡菌抑菌圈直径≥15mm，生物膜清除率≥50%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体外抑菌实验+生物膜培养检测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长期使用安全性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基因组连续传代20次无突变，无耐药基因，免疫低下模型无感染风险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基因组测序+耐药基因芯片+免疫缺陷动物实验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吸入途径精准递送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雾化后粒径1-5μm占比≥70%，肺部沉积率≥35%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粒径分析仪+动物肺部成像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明确临床终点改善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动物模型急性加重发生率降低≥40%，住院模拟指标改善≥30%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动物急性加重模型疗效评估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2（差异化）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调节炎症反应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肺部IL-6、TNF-α水平降低≥30%，嗜中性粒细胞浸润减少≥25%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细胞因子检测+病理切片分析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与抗生素联用不被杀灭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联用常用抗生素（如头孢他啶）后菌株存活率≥85%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体外联合培养存活率检测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COPD场景专属机制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可促进肺上皮细胞修复，黏液清除率提高≥20%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上皮细胞修复实验+黏液转运检测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起效可感知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动物模型呼吸困难指数改善≥20%，24小时内症状缓解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行为学评估+生理指标监测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突破病原生物膜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铜绿假单胞菌生物膜破坏率≥50%，膜内活菌数降低≥60%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生物膜染色+活菌计数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3（商业化）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规模化生产+菌株稳定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发酵罐产量≥10^10 CFU/L，连续5批次菌株性能一致性≥95%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发酵工艺验证+批次稳定性检测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配套伴随诊断（CDx）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生物标志物检测准确率≥85%，可区分“响应者/非响应者”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临床样本标志物验证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给药方式简单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手持雾化器单次给药时间≤5分钟，操作步骤≤3步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设备适配性测试+用户操作模拟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常温储存稳定1-2年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25℃储存1年后活性保持率≥80%，2年≥70%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加速稳定性试验+长期留样检测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监管路径清晰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符合FDA/NMPA LBP相关指导原则，CMC文件完整度100%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监管文件对标审核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第二模块：菌株筛选——从“候选池”到“潜力株”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本阶段核心任务是从天然来源或菌株库中筛选出符合“Top 1核心生存能力”基础要求的初始菌株，排除明显不符合的候选者，建立小规模潜力菌株库。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菌株来源挖掘与初筛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来源渠道</w:t>
      </w:r>
      <w:r>
        <w:rPr>
          <w:rFonts w:eastAsia="等线" w:ascii="Arial" w:cs="Arial" w:hAnsi="Arial"/>
          <w:sz w:val="22"/>
        </w:rPr>
        <w:t>：①健康人肺部微生态样本（经伦理审批）；②COPD稳定期患者肺部样本（筛选未感染核心病原菌的样本）；③商用益生菌库（优先筛选乳杆菌属、双歧杆菌属等已证实安全的菌株）；④文献挖掘（检索“呼吸道定植+抑菌”相关菌株，如罗伊氏乳杆菌、植物乳杆菌等）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菌株来源优化：文献驱动的候选株初筛方案</w:t>
            </w:r>
            <w:bookmarkEnd w:id="6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精准检索策略</w:t>
            </w:r>
            <w:r>
              <w:rPr>
                <w:rFonts w:eastAsia="等线" w:ascii="Arial" w:cs="Arial" w:hAnsi="Arial"/>
                <w:sz w:val="22"/>
              </w:rPr>
              <w:t>：通过PubMed、Web of Science检索“respiratory tract colonization Lactobacillus”“Pseudomonas aeruginosa inhibition probiotic”“COPD microbiome therapeutic strain”，限定近5年、IF≥5的研究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筛选维度</w:t>
            </w:r>
            <w:r>
              <w:rPr>
                <w:rFonts w:eastAsia="等线" w:ascii="Arial" w:cs="Arial" w:hAnsi="Arial"/>
                <w:sz w:val="22"/>
              </w:rPr>
              <w:t>：从文献中提取菌株信息并建立数据库，包含“菌株编号-定植部位-抑菌谱-安全性数据-是否进入临床”等字段，优先选择已在呼吸道微生态研究中证实定植能力的菌株（如文献报道的罗伊氏乳杆菌ATCC PTA-6475）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替代价值</w:t>
            </w:r>
            <w:r>
              <w:rPr>
                <w:rFonts w:eastAsia="等线" w:ascii="Arial" w:cs="Arial" w:hAnsi="Arial"/>
                <w:sz w:val="22"/>
              </w:rPr>
              <w:t>：减少健康人/患者样本采集的伦理流程及成本，商用菌株库筛选范围从“全库筛选”缩小至“文献验证菌株子集”，初筛工作量降低40%-60%</w:t>
            </w:r>
          </w:p>
        </w:tc>
      </w:tr>
    </w:tbl>
    <w:p/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0"/>
              </w:rPr>
              <w:t>AI+知识库提效方案：菌株信息智能整合与优先级排序</w:t>
            </w:r>
            <w:bookmarkEnd w:id="7"/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：采用LLM（如GPT-4、Claude 3）结合生物文献数据库（PubMed Central、SCOPUS），输入检索关键词后，通过Prompt指令（“提取近5年呼吸道益生菌研究中，同时满足‘铜绿假单胞菌抑菌圈≥12mm’‘肺部定植≥7天’‘无耐药基因’的菌株信息，输出结构化表格”）自动抓取文献数据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智能分析功能</w:t>
            </w:r>
            <w:r>
              <w:rPr>
                <w:rFonts w:eastAsia="等线" w:ascii="Arial" w:cs="Arial" w:hAnsi="Arial"/>
                <w:sz w:val="22"/>
              </w:rPr>
              <w:t>：①LLM自动去重整合数据，剔除低质量研究（如样本量＜10的实验）；②结合预训练的生物信息模型（如BioBERT），对菌株“定植能力-抑菌活性-安全性”进行加权评分（核心指标权重60%），生成优先级排序表；③自动关联菌株保藏信息（如ATCC、CGMCC编号）及商用获取渠道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：将人工文献筛选1-2周的工作量缩短至48小时内，菌株优先级准确率提升至85%以上，避免因人工遗漏优质菌株导致的重复实验。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初筛标准与操作</w:t>
      </w:r>
      <w:r>
        <w:rPr>
          <w:rFonts w:eastAsia="等线" w:ascii="Arial" w:cs="Arial" w:hAnsi="Arial"/>
          <w:sz w:val="22"/>
        </w:rPr>
        <w:t>：①基础安全筛：排除溶血菌株、毒力基因阳性菌株（通过溶血实验、毒力基因PCR检测）；②初步定植潜力筛：模拟肺部黏液环境（含黏蛋白的培养基），筛选生长良好的菌株（培养48小时后OD600≥0.8）；③简易抑菌筛：对铜绿假单胞菌/金葡菌进行点种抑菌实验，筛选有明显抑菌圈的菌株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结果输出</w:t>
      </w:r>
      <w:r>
        <w:rPr>
          <w:rFonts w:eastAsia="等线" w:ascii="Arial" w:cs="Arial" w:hAnsi="Arial"/>
          <w:sz w:val="22"/>
        </w:rPr>
        <w:t>：建立包含10-15株菌株的潜力株库，记录每株菌株的来源、形态特征、基础生长曲线及初筛指标。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潜力菌株核心指标复筛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对初筛后的潜力株进行“Top 1核心生存能力”的初步量化验证，淘汰不达标菌株：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肺部定植模拟验证</w:t>
      </w:r>
      <w:r>
        <w:rPr>
          <w:rFonts w:eastAsia="等线" w:ascii="Arial" w:cs="Arial" w:hAnsi="Arial"/>
          <w:sz w:val="22"/>
        </w:rPr>
        <w:t>：①构建体外肺部上皮细胞模型（A549细胞株），将菌株与细胞共培养，24小时后清洗残留菌株，检测细胞表面黏附的菌株数量（黏附率≥10^3 CFU/10^5细胞为达标）；②采用小鼠气管滴注方式给药，7天后取肺部组织匀浆培养，检测菌株检出率（≥50%为达标）。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精准抑菌能力检测</w:t>
      </w:r>
      <w:r>
        <w:rPr>
          <w:rFonts w:eastAsia="等线" w:ascii="Arial" w:cs="Arial" w:hAnsi="Arial"/>
          <w:sz w:val="22"/>
        </w:rPr>
        <w:t>：采用牛津杯法，将菌株发酵上清液加入牛津杯，培养24小时后测量对铜绿假单胞菌/金葡菌的抑菌圈直径（≥12mm为达标，优先保留≥15mm的菌株）。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吸入递送适配性初测</w:t>
      </w:r>
      <w:r>
        <w:rPr>
          <w:rFonts w:eastAsia="等线" w:ascii="Arial" w:cs="Arial" w:hAnsi="Arial"/>
          <w:sz w:val="22"/>
        </w:rPr>
        <w:t>：将菌株制成模拟雾化液，通过小型雾化器雾化后，用粒径分析仪检测雾化颗粒粒径（1-5μm占比≥50%为达标）。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结果输出：筛选出3-5株符合核心指标基础要求的菌株，进入下一阶段核心性能验证。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第三模块：核心性能验证——从“潜力株”到“候选株”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本阶段是开发核心环节，需对复筛后的菌株进行“Top 1核心生存能力”的全面验证及“Top 2差异化能力”的初步评估，最终确定1株最优候选菌株。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Top 1核心生存能力全面验证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3.1.1 肺部稳定定植与活性保持验证</w:t>
      </w:r>
      <w:bookmarkEnd w:id="1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长期定植实验：对大鼠进行气管滴注给药，分别在3、7、14、21天取肺部组织、支气管肺泡灌洗液（BALF）进行菌株计数，要求14天检出率≥80%，21天≥70%，且菌株活性（通过活菌计数及代谢产物检测）保持率≥90%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②定植机制验证：检测菌株是否通过分泌黏附蛋白（如黏附素）结合肺部上皮细胞，通过Western Blot检测菌株黏附蛋白表达，同时排除菌株对上皮细胞的毒性（细胞存活率≥90%为达标）。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30"/>
              </w:rPr>
              <w:t>定植机制研究：文献关联的靶点预测方案</w:t>
            </w:r>
            <w:bookmarkEnd w:id="12"/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机制检索</w:t>
            </w:r>
            <w:r>
              <w:rPr>
                <w:rFonts w:eastAsia="等线" w:ascii="Arial" w:cs="Arial" w:hAnsi="Arial"/>
                <w:sz w:val="22"/>
              </w:rPr>
              <w:t>：检索“probiotic adhesion protein lung epithelial cell”“乳杆菌 黏附素 呼吸道定植”，重点分析已报道的黏附蛋白类型（如纤连蛋白结合蛋白、黏多糖结合蛋白）及对应的作用靶点（如上皮细胞表面的整合素β1）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实验优化</w:t>
            </w:r>
            <w:r>
              <w:rPr>
                <w:rFonts w:eastAsia="等线" w:ascii="Arial" w:cs="Arial" w:hAnsi="Arial"/>
                <w:sz w:val="22"/>
              </w:rPr>
              <w:t>：直接针对文献高频提及的黏附蛋白设计检测引物/抗体，无需通过蛋白质组学筛选未知靶点；同时参考文献中“安全菌株的上皮细胞毒性阈值”，设定合理的细胞存活率判定标准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成功率提升</w:t>
            </w:r>
            <w:r>
              <w:rPr>
                <w:rFonts w:eastAsia="等线" w:ascii="Arial" w:cs="Arial" w:hAnsi="Arial"/>
                <w:sz w:val="22"/>
              </w:rPr>
              <w:t>：将机制探索的“盲筛”转化为“靶向验证”，实验周期缩短30%，且基于文献的靶点选择可降低阴性结果风险</w:t>
            </w:r>
          </w:p>
        </w:tc>
      </w:tr>
    </w:tbl>
    <w:p/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30"/>
              </w:rPr>
              <w:t>AI+知识库提效方案：黏附机制靶点预测与互作分析</w:t>
            </w:r>
            <w:bookmarkEnd w:id="13"/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：使用LLM（BioGPT）结合蛋白质互作数据库（STRING、UniProt），输入候选菌株属名（如“Lactobacillus rhamnosus”）及“肺部上皮细胞”关键词，触发“蛋白功能-靶点互作”智能分析。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智能分析功能</w:t>
            </w:r>
            <w:r>
              <w:rPr>
                <w:rFonts w:eastAsia="等线" w:ascii="Arial" w:cs="Arial" w:hAnsi="Arial"/>
                <w:sz w:val="22"/>
              </w:rPr>
              <w:t>：①LLM自动提取该属菌株已报道的黏附蛋白序列，与A549细胞表面蛋白进行互作预测，输出互作得分≥0.7的候选靶点（如整合素β1、E-钙黏蛋白）；②通过AI工具（如PyMOL结合预训练模型）生成黏附蛋白-靶点的分子对接模拟图，预测结合位点；③自动设计针对核心靶点的PCR引物序列（如整合素β1引物：F-ACGGTGCTGGTGGTGAT，R-GGCTGGTGGTGATGGTG）及Western Blot抗体选择建议。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：省去蛋白质组学筛选（约2周）及分子对接实验（约3天）的工作量，靶点预测准确率达80%，避免因靶点选择错误导致的Western Blot重复实验（减少50%抗体浪费）。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3.1.2 病原菌抑制与生物膜突破能力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广谱抑菌验证</w:t>
      </w:r>
      <w:r>
        <w:rPr>
          <w:rFonts w:eastAsia="等线" w:ascii="Arial" w:cs="Arial" w:hAnsi="Arial"/>
          <w:sz w:val="22"/>
        </w:rPr>
        <w:t>：选取5株临床分离的铜绿假单胞菌（含1株耐药株）、5株金葡菌（含1株MRSA），采用微量肉汤稀释法检测菌株发酵上清液的最低抑菌浓度（MIC），要求对敏感株MIC≤100μg/mL，对耐药株MIC≤200μg/mL。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生物膜清除实验</w:t>
      </w:r>
      <w:r>
        <w:rPr>
          <w:rFonts w:eastAsia="等线" w:ascii="Arial" w:cs="Arial" w:hAnsi="Arial"/>
          <w:sz w:val="22"/>
        </w:rPr>
        <w:t>：在96孔板中培养铜绿假单胞菌生物膜，加入菌株发酵液培养24小时后，采用结晶紫染色法检测生物膜厚度，计算清除率（≥50%为达标），同时通过激光共聚焦显微镜观察生物膜结构破坏情况。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抑菌机制初探</w:t>
      </w:r>
      <w:r>
        <w:rPr>
          <w:rFonts w:eastAsia="等线" w:ascii="Arial" w:cs="Arial" w:hAnsi="Arial"/>
          <w:sz w:val="22"/>
        </w:rPr>
        <w:t>：检测菌株是否分泌抗菌肽、有机酸等物质，通过高效液相色谱（HPLC）分析发酵产物成分，明确核心抑菌物质。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5" w:id="15"/>
            <w:r>
              <w:rPr>
                <w:rFonts w:eastAsia="等线" w:ascii="Arial" w:cs="Arial" w:hAnsi="Arial"/>
                <w:b w:val="true"/>
                <w:sz w:val="30"/>
              </w:rPr>
              <w:t>抑菌机制研究：文献引导的物质鉴定方案</w:t>
            </w:r>
            <w:bookmarkEnd w:id="15"/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定向检索</w:t>
            </w:r>
            <w:r>
              <w:rPr>
                <w:rFonts w:eastAsia="等线" w:ascii="Arial" w:cs="Arial" w:hAnsi="Arial"/>
                <w:sz w:val="22"/>
              </w:rPr>
              <w:t>：针对候选菌株所属菌种（如植物乳杆菌），检索“Lactobacillus plantarum antibacterial substance Pseudomonas aeruginosa”“乳杆菌 抗菌肽 结构特征”，明确该菌种常见的抑菌活性成分（如植物乳杆菌素、乳酸等）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实验设计优化</w:t>
            </w:r>
            <w:r>
              <w:rPr>
                <w:rFonts w:eastAsia="等线" w:ascii="Arial" w:cs="Arial" w:hAnsi="Arial"/>
                <w:sz w:val="22"/>
              </w:rPr>
              <w:t>：根据文献信息预设检测条件，如已知抗菌肽的HPLC保留时间、质谱分子量，直接进行靶向检测；若文献报道该类菌株抑菌依赖酸性环境，可优先检测发酵液pH值及有机酸含量，减少非必要的蛋白质分离实验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成本控制</w:t>
            </w:r>
            <w:r>
              <w:rPr>
                <w:rFonts w:eastAsia="等线" w:ascii="Arial" w:cs="Arial" w:hAnsi="Arial"/>
                <w:sz w:val="22"/>
              </w:rPr>
              <w:t>：避免全成分分析的高额费用，靶向检测使HPLC、质谱等实验次数减少50%以上</w:t>
            </w:r>
          </w:p>
        </w:tc>
      </w:tr>
    </w:tbl>
    <w:p/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30"/>
              </w:rPr>
              <w:t>AI+知识库提效方案：抑菌活性成分靶向预测与检测方法生成</w:t>
            </w:r>
            <w:bookmarkEnd w:id="16"/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：采用LLM（Claude 3 Opus）结合代谢组学数据库（MetaboLights、HMDB），输入“植物乳杆菌 铜绿假单胞菌 抑菌成分”及菌株发酵条件（如pH 6.5、37℃），触发活性成分预测。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智能分析功能</w:t>
            </w:r>
            <w:r>
              <w:rPr>
                <w:rFonts w:eastAsia="等线" w:ascii="Arial" w:cs="Arial" w:hAnsi="Arial"/>
                <w:sz w:val="22"/>
              </w:rPr>
              <w:t>：①LLM整合文献中该菌株的代谢产物数据，排除与抑菌无关的成分（如初级代谢产物），预测核心活性成分（如植物乳杆菌素LP-1）及特征参数（分子量3.2kDa、等电点9.2）；②自动生成HPLC检测方法学参数（色谱柱：C18柱，流动相：乙腈-水=30:70，检测波长220nm）及质谱检测条件（离子源：ESI+，碰撞能量25eV）；③若预测为酸性成分，自动输出pH值检测与有机酸定量的关联公式（如pH≤4.5时，乳酸含量≥100mmol/L可判定为主要抑菌因子）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：HPLC方法学建立时间从1周缩短至2天，质谱检测靶向性提升，避免全代谢组分析（费用降低60%），活性成分确认准确率达85%。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3.1.3 长期使用安全性验证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①基因组稳定性：将菌株连续传代20次，每5代进行全基因组测序，对比序列一致性（≥99.9%为达标），排除基因突变风险。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②耐药基因检测：采用耐药基因芯片检测常见耐药基因（如β-内酰胺类、喹诺酮类耐药基因），要求无耐药基因检出。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③免疫安全性：对免疫缺陷小鼠（裸鼠）进行气管滴注给药，连续28天，观察小鼠体重、活动状态，检测肺部炎症指标（IL-6、TNF-α）及器官病理切片，要求无感染加重、无炎症异常升高、无器官损伤。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④全身安全性：对大鼠进行腹腔注射（10倍临床拟用剂量），观察7天内急性毒性反应，要求无死亡、无明显毒性症状（如腹泻、精神萎靡）。</w:t>
      </w:r>
    </w:p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8" w:id="18"/>
            <w:r>
              <w:rPr>
                <w:rFonts w:eastAsia="等线" w:ascii="Arial" w:cs="Arial" w:hAnsi="Arial"/>
                <w:b w:val="true"/>
                <w:sz w:val="30"/>
              </w:rPr>
              <w:t>AI+知识库提效方案：细菌基因组功能智能预测与安全风险预警</w:t>
            </w:r>
            <w:bookmarkEnd w:id="18"/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：采用“基因组注释工具（Prokka/RAST）+ LLM（BioGPT-2/ClinVar LLM）+ 专业数据库（CARD、VFDB、STRING）”组合，输入候选菌株全基因组测序原始数据（FASTQ格式），同步导入“植物乳杆菌 安全菌株基因组”“COPD相关病原菌毒力基因库”作为对照数据。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多维度功能预测功能</w:t>
            </w:r>
            <w:r>
              <w:rPr>
                <w:rFonts w:eastAsia="等线" w:ascii="Arial" w:cs="Arial" w:hAnsi="Arial"/>
                <w:sz w:val="22"/>
              </w:rPr>
              <w:t>：①</w:t>
            </w:r>
            <w:r>
              <w:rPr>
                <w:rFonts w:eastAsia="等线" w:ascii="Arial" w:cs="Arial" w:hAnsi="Arial"/>
                <w:b w:val="true"/>
                <w:sz w:val="22"/>
              </w:rPr>
              <w:t>耐药基因精准预测</w:t>
            </w:r>
            <w:r>
              <w:rPr>
                <w:rFonts w:eastAsia="等线" w:ascii="Arial" w:cs="Arial" w:hAnsi="Arial"/>
                <w:sz w:val="22"/>
              </w:rPr>
              <w:t>：LLM自动将菌株基因组与CARD（耐药基因数据库）进行序列比对，不仅识别已知耐药基因（如β-内酰胺酶基因），还通过同源序列分析预测潜在耐药突变位点（如喹诺酮类耐药相关gyrA基因83位氨基酸突变），输出耐药风险等级（高/中/低）及置信度；②</w:t>
            </w:r>
            <w:r>
              <w:rPr>
                <w:rFonts w:eastAsia="等线" w:ascii="Arial" w:cs="Arial" w:hAnsi="Arial"/>
                <w:b w:val="true"/>
                <w:sz w:val="22"/>
              </w:rPr>
              <w:t>毒力基因筛查与功能注释</w:t>
            </w:r>
            <w:r>
              <w:rPr>
                <w:rFonts w:eastAsia="等线" w:ascii="Arial" w:cs="Arial" w:hAnsi="Arial"/>
                <w:sz w:val="22"/>
              </w:rPr>
              <w:t>：结合VFDB（毒力因子数据库），LLM对基因组中疑似毒力基因（如溶血素、侵袭素基因）进行功能注释，区分“无功能假基因”与“活性基因”，并关联文献中该基因在呼吸道菌株中的致病案例（如排除仅在肠道菌株中致病的毒力因子）；③</w:t>
            </w:r>
            <w:r>
              <w:rPr>
                <w:rFonts w:eastAsia="等线" w:ascii="Arial" w:cs="Arial" w:hAnsi="Arial"/>
                <w:b w:val="true"/>
                <w:sz w:val="22"/>
              </w:rPr>
              <w:t>粘附能力关联预测</w:t>
            </w:r>
            <w:r>
              <w:rPr>
                <w:rFonts w:eastAsia="等线" w:ascii="Arial" w:cs="Arial" w:hAnsi="Arial"/>
                <w:sz w:val="22"/>
              </w:rPr>
              <w:t>：提取基因组中黏附相关基因（如黏附素、纤连蛋白结合蛋白基因），通过LLM结合蛋白质结构预测模型（AlphaFold3），分析基因编码蛋白的结构域完整性，预测其与肺部上皮细胞整合素β1的结合潜力（结合得分≥0.7为高潜力）；④</w:t>
            </w:r>
            <w:r>
              <w:rPr>
                <w:rFonts w:eastAsia="等线" w:ascii="Arial" w:cs="Arial" w:hAnsi="Arial"/>
                <w:b w:val="true"/>
                <w:sz w:val="22"/>
              </w:rPr>
              <w:t>炎症调节能力预判</w:t>
            </w:r>
            <w:r>
              <w:rPr>
                <w:rFonts w:eastAsia="等线" w:ascii="Arial" w:cs="Arial" w:hAnsi="Arial"/>
                <w:sz w:val="22"/>
              </w:rPr>
              <w:t>：基于基因组中代谢相关基因（如抗菌肽合成酶、短链脂肪酸合成基因），LLM关联文献中“基因-代谢产物-炎症调节”的关联数据，预测菌株分泌抗炎物质（如IL-10诱导因子）或促炎物质的潜力；⑤</w:t>
            </w:r>
            <w:r>
              <w:rPr>
                <w:rFonts w:eastAsia="等线" w:ascii="Arial" w:cs="Arial" w:hAnsi="Arial"/>
                <w:b w:val="true"/>
                <w:sz w:val="22"/>
              </w:rPr>
              <w:t>抗生素联用兼容性预测</w:t>
            </w:r>
            <w:r>
              <w:rPr>
                <w:rFonts w:eastAsia="等线" w:ascii="Arial" w:cs="Arial" w:hAnsi="Arial"/>
                <w:sz w:val="22"/>
              </w:rPr>
              <w:t>：将菌株基因组中药物代谢相关基因（如ABC转运蛋白基因）与常用抗生素（头孢他啶、左氧氟沙星）的作用靶点进行互作分析，LLM预测菌株是否通过基因表达调控产生“抗生素耐受”，输出联用安全系数（≥0.8为推荐联用）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提效成果与实验衔接</w:t>
            </w:r>
            <w:r>
              <w:rPr>
                <w:rFonts w:eastAsia="等线" w:ascii="Arial" w:cs="Arial" w:hAnsi="Arial"/>
                <w:sz w:val="22"/>
              </w:rPr>
              <w:t>：①将传统基因组功能验证（需4-6周）的“前置风险筛查”时间缩短至72小时，耐药/毒力基因预测准确率达92%（较单纯数据库比对提升15%）；②通过AI排除“低风险基因”（如无功能的毒力基因片段），使后续耐药基因芯片检测、毒力实验的靶点数量减少60%（如从检测50种耐药基因降至20种）；③对高风险预测结果（如潜在耐药突变）进行“靶向实验验证”，避免全基因组盲筛导致的实验浪费，安全风险预警灵敏度提升至88%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3.1.4 吸入递药精准性验证</w:t>
      </w:r>
      <w:bookmarkEnd w:id="1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雾化性能优化：将菌株制成冻干粉末后复溶，与吸入制剂辅料（如甘露醇）混合，通过医用雾化器雾化，检测雾化后粒径分布（1-5μm占比≥70%为达标）、雾化效率（≥80%为达标）；②肺部沉积率检测：采用兔肺模型进行雾化给药，给药后解剖肺部，分段检测各肺叶菌株沉积量，计算总沉积率（≥35%为达标）；③雾化稳定性：雾化过程中持续取样检测菌株活性，要求雾化后活性保持率≥90%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3.1.5 临床终点改善初步验证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构建COPD急性加重动物模型（通过气管滴注铜绿假单胞菌诱导），将菌株通过雾化给药，设置模型组、菌株组、抗生素对照组：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①急性加重指标：记录小鼠呼吸困难程度、体重变化，检测BALF中病原菌载量，要求菌株组病原菌载量降低≥60%，呼吸困难指数改善≥40%。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②肺功能指标：通过肺功能仪检测小鼠用力肺活量（FVC）、第1秒用力呼气量（FEV1），要求菌株组FEV1/FVC比值提高≥20%。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③炎症控制：检测BALF中IL-6、TNF-α水平及嗜中性粒细胞数量，要求较模型组降低≥30%。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3.2 Top 2差异化能力初步评估</w:t>
      </w:r>
      <w:bookmarkEnd w:id="21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炎症调节能力</w:t>
      </w:r>
      <w:r>
        <w:rPr>
          <w:rFonts w:eastAsia="等线" w:ascii="Arial" w:cs="Arial" w:hAnsi="Arial"/>
          <w:sz w:val="22"/>
        </w:rPr>
        <w:t>：在LPS诱导的小鼠肺部炎症模型中，雾化给药后检测肺部炎症因子（IL-6、TNF-α、IL-1β）及抗炎因子（IL-10）水平，要求炎症因子降低≥30%，抗炎因子升高≥25%。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抗生素联用兼容性</w:t>
      </w:r>
      <w:r>
        <w:rPr>
          <w:rFonts w:eastAsia="等线" w:ascii="Arial" w:cs="Arial" w:hAnsi="Arial"/>
          <w:sz w:val="22"/>
        </w:rPr>
        <w:t>：选取COPD常用抗生素（头孢他啶、左氧氟沙星、阿奇霉素），与菌株进行体外联合培养，检测菌株存活率（≥85%为达标），同时检测联合使用对病原菌的抑制效果（抑菌圈直径较单独抗生素组无明显缩小）。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COPD专属机制验证</w:t>
      </w:r>
      <w:r>
        <w:rPr>
          <w:rFonts w:eastAsia="等线" w:ascii="Arial" w:cs="Arial" w:hAnsi="Arial"/>
          <w:sz w:val="22"/>
        </w:rPr>
        <w:t>：检测菌株对肺上皮细胞修复的促进作用，将菌株与受损A549细胞共培养，通过CCK-8法检测细胞增殖率（≥120%为达标），同时检测黏液清除相关蛋白（如MUC5AC）的表达水平（降低≥20%为达标）。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3.3 候选菌株确定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综合核心性能验证及差异化能力评估结果，采用加权评分法（Top 1指标权重60%，Top 2指标权重40%）对菌株进行排名，选择评分最高的1株菌株作为最终候选菌株，输出《候选菌株筛选报告》，明确其各项性能指标及优势。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第四模块：临床前开发——从“候选株”到“临床用株”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本阶段需完成候选菌株的工艺开发、质量标准建立、药效机制明确及临床前安全性补充验证，为进入临床研究奠定基础，同时同步推进Top 3商业化能力相关的前期工作。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4.1 CMC开发（工艺与质量控制）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4.1.1 规模化发酵工艺开发</w:t>
      </w:r>
      <w:bookmarkEnd w:id="2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实验室规模优化</w:t>
      </w:r>
      <w:r>
        <w:rPr>
          <w:rFonts w:eastAsia="等线" w:ascii="Arial" w:cs="Arial" w:hAnsi="Arial"/>
          <w:sz w:val="22"/>
        </w:rPr>
        <w:t>：在5L发酵罐中优化发酵条件，包括碳源（如葡萄糖、乳糖）、氮源（如酵母提取物、蛋白胨）、pH值（6.0-7.0）、温度（35-37℃）、通气量（1-2 vvm）、搅拌速度（200-300 rpm），目标是提高菌株产量（≥10^10 CFU/L）及核心抑菌物质表达量。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6" w:id="26"/>
            <w:r>
              <w:rPr>
                <w:rFonts w:eastAsia="等线" w:ascii="Arial" w:cs="Arial" w:hAnsi="Arial"/>
                <w:b w:val="true"/>
                <w:sz w:val="30"/>
              </w:rPr>
              <w:t>发酵工艺优化：文献数据的预实验替代方案</w:t>
            </w:r>
            <w:bookmarkEnd w:id="26"/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工艺参数检索</w:t>
            </w:r>
            <w:r>
              <w:rPr>
                <w:rFonts w:eastAsia="等线" w:ascii="Arial" w:cs="Arial" w:hAnsi="Arial"/>
                <w:sz w:val="22"/>
              </w:rPr>
              <w:t>：检索“同属菌株 发酵工艺优化”“Lactobacillus 高密度发酵 碳氮源配比”“益生菌 发酵罐 通气量 优化”，收集近3年的发酵工程研究数据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参数确定逻辑</w:t>
            </w:r>
            <w:r>
              <w:rPr>
                <w:rFonts w:eastAsia="等线" w:ascii="Arial" w:cs="Arial" w:hAnsi="Arial"/>
                <w:sz w:val="22"/>
              </w:rPr>
              <w:t>：①碳氮源：优先选择文献中使同类菌株产量达10^10 CFU/L以上的组合（如葡萄糖+酵母提取物=2:1）；②环境参数：以文献报道的最适pH（6.5-7.0）、温度（37℃）作为初始条件，仅微调通气量和搅拌速度（减少80%的参数组合实验）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验证要点</w:t>
            </w:r>
            <w:r>
              <w:rPr>
                <w:rFonts w:eastAsia="等线" w:ascii="Arial" w:cs="Arial" w:hAnsi="Arial"/>
                <w:sz w:val="22"/>
              </w:rPr>
              <w:t>：检索“发酵条件 抗菌肽表达 关联”，确认所选参数是否利于核心抑菌物质合成，避免产量与活性脱节</w:t>
            </w:r>
          </w:p>
        </w:tc>
      </w:tr>
    </w:tbl>
    <w:p/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7" w:id="27"/>
            <w:r>
              <w:rPr>
                <w:rFonts w:eastAsia="等线" w:ascii="Arial" w:cs="Arial" w:hAnsi="Arial"/>
                <w:b w:val="true"/>
                <w:sz w:val="30"/>
              </w:rPr>
              <w:t>AI+知识库提效方案：发酵参数智能优化与产量预测模型</w:t>
            </w:r>
            <w:bookmarkEnd w:id="27"/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：使用LLM（GPT-4 Turbo）结合发酵工程数据库（BioProcessDB）及机器学习模型（随机森林回归），输入“植物乳杆菌 高密度发酵 目标产量10^10 CFU/L”，导入文献中50组同类菌株发酵数据（碳氮源、温度、通气量、产量）。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智能分析功能</w:t>
            </w:r>
            <w:r>
              <w:rPr>
                <w:rFonts w:eastAsia="等线" w:ascii="Arial" w:cs="Arial" w:hAnsi="Arial"/>
                <w:sz w:val="22"/>
              </w:rPr>
              <w:t>：①LLM对输入数据进行标准化处理（如将碳氮源浓度换算为摩尔比），剔除异常值（如产量波动＞50%的实验）；②机器学习模型构建“参数-产量-抗菌肽表达”三维预测模型，输出最优参数组合（如葡萄糖20g/L、酵母提取物10g/L、通气量1.5vvm、搅拌速度250rpm）及置信度（92%）；③模拟不同参数波动的影响（如温度±1℃时产量变化率＜3%），确定参数控制范围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：实验室规模发酵优化实验次数从20组减少至5组，中试放大成功率从60%提升至90%，发酵周期缩短12小时（从48小时至36小时）。</w:t>
            </w:r>
          </w:p>
        </w:tc>
      </w:tr>
    </w:tbl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中试放大验证</w:t>
      </w:r>
      <w:r>
        <w:rPr>
          <w:rFonts w:eastAsia="等线" w:ascii="Arial" w:cs="Arial" w:hAnsi="Arial"/>
          <w:sz w:val="22"/>
        </w:rPr>
        <w:t>：在50L发酵罐中进行工艺放大，验证发酵条件的稳定性，连续生产3批次，要求批次间菌株产量变异系数≤5%，活性一致性≥95%。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下游工艺开发</w:t>
      </w:r>
      <w:r>
        <w:rPr>
          <w:rFonts w:eastAsia="等线" w:ascii="Arial" w:cs="Arial" w:hAnsi="Arial"/>
          <w:sz w:val="22"/>
        </w:rPr>
        <w:t>：优化离心收集（转速8000 rpm，时间15分钟）、洗涤（生理盐水洗涤2次）、冻干工艺（冷冻温度-40℃，真空度10 Pa，冻干时间24小时），确保冻干后菌株活性保持率≥90%，水分含量≤5%。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4.1.2 质量标准建立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制定候选菌株的质量控制标准，涵盖以下关键项目：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9" w:id="29"/>
            <w:r>
              <w:rPr>
                <w:rFonts w:eastAsia="等线" w:ascii="Arial" w:cs="Arial" w:hAnsi="Arial"/>
                <w:b w:val="true"/>
                <w:sz w:val="30"/>
              </w:rPr>
              <w:t>质量标准建立：法规与文献融合方案</w:t>
            </w:r>
            <w:bookmarkEnd w:id="29"/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监管标准检索</w:t>
            </w:r>
            <w:r>
              <w:rPr>
                <w:rFonts w:eastAsia="等线" w:ascii="Arial" w:cs="Arial" w:hAnsi="Arial"/>
                <w:sz w:val="22"/>
              </w:rPr>
              <w:t>：查询《中国药典 四部》“活菌制剂”章节、FDA《Probiotic Products Guidance》，直接获取活菌数下限、杂菌污染率、重金属限量等法定标准（如药典规定益生菌重金属铅≤1.0μg/g，可直接采用无需自主验证）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特异性指标参考</w:t>
            </w:r>
            <w:r>
              <w:rPr>
                <w:rFonts w:eastAsia="等线" w:ascii="Arial" w:cs="Arial" w:hAnsi="Arial"/>
                <w:sz w:val="22"/>
              </w:rPr>
              <w:t>：检索“LBP 质量控制 核心指标”“呼吸道益生菌 纯度标准”，参考同类产品的抑菌物质含量阈值（如文献中有效LBP的抗菌肽含量多≥400μg/g，可将标准设定为≥500μg/g以留有余地）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检测方法复用</w:t>
            </w:r>
            <w:r>
              <w:rPr>
                <w:rFonts w:eastAsia="等线" w:ascii="Arial" w:cs="Arial" w:hAnsi="Arial"/>
                <w:sz w:val="22"/>
              </w:rPr>
              <w:t>：检索“活菌数 平板计数法 优化”“HPLC 抗菌肽 检测 色谱条件”，直接采用已验证的方法学参数（如色谱柱型号、流动相配比），减少方法学验证时间</w:t>
            </w:r>
          </w:p>
        </w:tc>
      </w:tr>
    </w:tbl>
    <w:p/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0" w:id="30"/>
            <w:r>
              <w:rPr>
                <w:rFonts w:eastAsia="等线" w:ascii="Arial" w:cs="Arial" w:hAnsi="Arial"/>
                <w:b w:val="true"/>
                <w:sz w:val="30"/>
              </w:rPr>
              <w:t>AI+知识库提效方案：质量标准智能对标与检测方法验证</w:t>
            </w:r>
            <w:bookmarkEnd w:id="30"/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：采用LLM（LexisNexis AI结合药监局数据库），输入“呼吸道LBP 质量标准 FDA/NMPA”“植物乳杆菌 活菌制剂 检测方法”，导入候选菌株核心指标（活菌数、抗菌肽含量）。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智能分析功能</w:t>
            </w:r>
            <w:r>
              <w:rPr>
                <w:rFonts w:eastAsia="等线" w:ascii="Arial" w:cs="Arial" w:hAnsi="Arial"/>
                <w:sz w:val="22"/>
              </w:rPr>
              <w:t>：①LLM自动抓取FDA《LBP开发指导原则》《中国药典2025年版 活菌制剂》等法规文件，提取强制性标准（如杂菌污染率≤0.1%），并标注“需自主验证”的特异性指标（如抗菌肽含量）；②对比已上市同类产品（如A公司呼吸道益生菌）的质量标准，生成“法规要求-竞品标准-自拟标准”对比表，提出抗菌肽含量≥500μg/g的建议及依据；③自动生成检测方法学验证方案（如平板计数法的回收率验证范围90%-110%，HPLC的RSD≤2%）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：质量标准制定时间从2周缩短至3天，法规合规性达100%，避免因标准不符导致的后期整改（如重金属限量错误），方法学验证实验组数减少30%。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活菌数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每克冻干菌粉≥10^11 CFU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平板计数法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杂菌污染率≤0.1%，无致病菌检出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选择性培养基培养+致病菌PCR检测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基因组稳定性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与原始菌株序列一致性≥99.9%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全基因组测序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核心抑菌物质含量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≥500μg/g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HPLC法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卡尔费休法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重金属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铅≤0.5μg/g，汞≤0.1μg/g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原子吸收光谱法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4.1.3 制剂开发与稳定性验证</w:t>
      </w:r>
      <w:bookmarkEnd w:id="31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①吸入制剂配方优化：将冻干菌粉与辅料（甘露醇、乳糖）按比例混合，制成适合雾化的粉末制剂，优化辅料比例以提高雾化性能（1-5μm粒径占比≥75%）。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②稳定性验证：进行加速稳定性试验（40℃、RH 75%）6个月及长期稳定性试验（25℃、RH 60%）12个月，检测活菌数、纯度、外观等指标，要求12个月后活菌数保持率≥80%（对标常温储存1-2年的要求）。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③给药设备适配：与商用手持雾化器匹配测试，确保制剂雾化效率≥85%，单次给药剂量准确性≤±10%。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4.2 临床前药效与机制深化研究</w:t>
      </w:r>
      <w:bookmarkEnd w:id="32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药效学补充验证</w:t>
      </w:r>
      <w:r>
        <w:rPr>
          <w:rFonts w:eastAsia="等线" w:ascii="Arial" w:cs="Arial" w:hAnsi="Arial"/>
          <w:sz w:val="22"/>
        </w:rPr>
        <w:t>：在大动物模型（如猪）上构建COPD慢性模型，雾化给药6个月，检测长期用药对肺功能（FEV1、FVC）、急性加重发生率、肺部微生态平衡的影响，要求急性加重发生率降低≥40%，肺功能改善≥25%。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作用机制明确</w:t>
      </w:r>
      <w:r>
        <w:rPr>
          <w:rFonts w:eastAsia="等线" w:ascii="Arial" w:cs="Arial" w:hAnsi="Arial"/>
          <w:sz w:val="22"/>
        </w:rPr>
        <w:t>：通过转录组学（RNA-seq）分析菌株给药后肺部组织的基因表达变化，明确其在“抑菌-抗炎-组织修复”中的核心调控通路（如NF-κB炎症通路抑制、MAPK修复通路激活），输出机制研究报告。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起效时间验证</w:t>
      </w:r>
      <w:r>
        <w:rPr>
          <w:rFonts w:eastAsia="等线" w:ascii="Arial" w:cs="Arial" w:hAnsi="Arial"/>
          <w:sz w:val="22"/>
        </w:rPr>
        <w:t>：在COPD急性加重模型中，于给药后6、12、24、48小时检测症状改善及炎症指标变化，明确24小时内起效的具体证据（如呼吸困难缓解、IL-6水平下降）。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4.3 安全性补充验证</w:t>
      </w:r>
      <w:bookmarkEnd w:id="3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①长期毒性试验：对大鼠连续雾化给药6个月，检测体重、血常规、肝肾功能、肺部病理切片，要求无明显器官毒性，各项指标在正常范围内。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②生殖毒性试验：对孕鼠进行雾化给药，观察胚胎发育情况，要求胚胎畸形率≤1%，与对照组无差异。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③免疫原性检测：检测给药后小鼠血清中抗菌株抗体水平，要求抗体滴度≤1:100，无过敏反应（如皮疹、呼吸困难）。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4.4 商业化能力前期布局</w:t>
      </w:r>
      <w:bookmarkEnd w:id="34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伴随诊断（CDx）开发启动</w:t>
      </w:r>
      <w:r>
        <w:rPr>
          <w:rFonts w:eastAsia="等线" w:ascii="Arial" w:cs="Arial" w:hAnsi="Arial"/>
          <w:sz w:val="22"/>
        </w:rPr>
        <w:t>：通过临床前模型及临床样本库，筛选与菌株疗效相关的生物标志物（如肺部菌群特征、炎症因子组合），与诊断公司合作开发荧光定量PCR检测试剂盒，初步验证准确率≥80%。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5" w:id="35"/>
            <w:r>
              <w:rPr>
                <w:rFonts w:eastAsia="等线" w:ascii="Arial" w:cs="Arial" w:hAnsi="Arial"/>
                <w:b w:val="true"/>
                <w:sz w:val="30"/>
              </w:rPr>
              <w:t>CDx标志物筛选：文献关联的精准定位方案</w:t>
            </w:r>
            <w:bookmarkEnd w:id="35"/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标志物检索</w:t>
            </w:r>
            <w:r>
              <w:rPr>
                <w:rFonts w:eastAsia="等线" w:ascii="Arial" w:cs="Arial" w:hAnsi="Arial"/>
                <w:sz w:val="22"/>
              </w:rPr>
              <w:t>：检索“COPD 疗效预测 生物标志物”“铜绿假单胞菌感染 炎症因子 关联”“LBP 响应者 菌群特征”，优先选择已在COPD领域验证的标志物（如文献证实IL-8≤30pg/mL的患者对抑菌治疗响应更佳）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组合策略</w:t>
            </w:r>
            <w:r>
              <w:rPr>
                <w:rFonts w:eastAsia="等线" w:ascii="Arial" w:cs="Arial" w:hAnsi="Arial"/>
                <w:sz w:val="22"/>
              </w:rPr>
              <w:t>：参考Meta分析结果，将“菌群标志物（如乳杆菌属丰度≥5%）+炎症标志物（IL-6＜25pg/mL）”组合，避免单一标志物的低准确率问题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验证捷径</w:t>
            </w:r>
            <w:r>
              <w:rPr>
                <w:rFonts w:eastAsia="等线" w:ascii="Arial" w:cs="Arial" w:hAnsi="Arial"/>
                <w:sz w:val="22"/>
              </w:rPr>
              <w:t>：检索“标志物 荧光定量PCR 检测条件”，直接获取引物序列、退火温度等参数，减少试剂盒开发的预实验环节</w:t>
            </w:r>
          </w:p>
        </w:tc>
      </w:tr>
    </w:tbl>
    <w:p/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6" w:id="36"/>
            <w:r>
              <w:rPr>
                <w:rFonts w:eastAsia="等线" w:ascii="Arial" w:cs="Arial" w:hAnsi="Arial"/>
                <w:b w:val="true"/>
                <w:sz w:val="30"/>
              </w:rPr>
              <w:t>AI+知识库提效方案：CDx标志物组合筛选与试剂盒参数生成</w:t>
            </w:r>
            <w:bookmarkEnd w:id="36"/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：使用LLM（BioGPT-2）结合生物标志物数据库（OMIM、COSMIC）及机器学习分类模型（SVM），输入“COPD LBP 疗效 生物标志物”，导入临床前模型中100例“响应者/非响应者”的菌群及炎症因子数据。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智能分析功能</w:t>
            </w:r>
            <w:r>
              <w:rPr>
                <w:rFonts w:eastAsia="等线" w:ascii="Arial" w:cs="Arial" w:hAnsi="Arial"/>
                <w:sz w:val="22"/>
              </w:rPr>
              <w:t>：①LLM自动整合文献中COPD疗效相关标志物（如IL-8、TNF-α、乳杆菌属丰度），剔除无统计学意义的指标（P＞0.05）；②机器学习模型进行标志物组合筛选，输出“IL-8≤30pg/mL + 乳杆菌属丰度≥5% + MUC5AC＜10ng/mL”的最优组合，预测准确率达88%；③自动生成荧光定量PCR引物序列（IL-8：F-TGGCCTTCCTGATTTCTG，R-TGGTCCACCTGGTTCAAAC）、退火温度（58℃）及判读标准（3个指标同时达标为“响应者”）。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：标志物筛选时间从1个月缩短至1周，试剂盒开发预实验次数减少60%，响应者预测准确率较单一标志物提升30%。</w:t>
            </w:r>
          </w:p>
        </w:tc>
      </w:tr>
    </w:tbl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监管路径调研</w:t>
      </w:r>
      <w:r>
        <w:rPr>
          <w:rFonts w:eastAsia="等线" w:ascii="Arial" w:cs="Arial" w:hAnsi="Arial"/>
          <w:sz w:val="22"/>
        </w:rPr>
        <w:t>：查阅FDA《活体生物治疗产品指导原则》及NMPA相关法规，明确LBP的注册分类（按生物制品1类）及申报资料要求，梳理CMC、非临床、临床研究的关键节点。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生产场地规划</w:t>
      </w:r>
      <w:r>
        <w:rPr>
          <w:rFonts w:eastAsia="等线" w:ascii="Arial" w:cs="Arial" w:hAnsi="Arial"/>
          <w:sz w:val="22"/>
        </w:rPr>
        <w:t>：按GMP标准规划规模化生产车间，设计发酵、纯化、冻干、制剂的生产线布局，预估产能（≥1000万剂/年）及生产成本。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4.5 知识产权与监管申报AI赋能专项</w:t>
      </w:r>
      <w:bookmarkEnd w:id="37"/>
    </w:p>
    <w:tbl>
      <w:tblPr>
        <w:tblW w:w="0" w:type="auto"/>
        <w:tblInd w:w="0" w:type="dxa"/>
        <w:tblBorders>
          <w:top w:val="single" w:color="90ee90"/>
          <w:left w:val="single" w:color="90ee90"/>
          <w:bottom w:val="single" w:color="90ee90"/>
          <w:right w:val="single" w:color="90ee90"/>
          <w:insideH w:val="single" w:color="90ee90"/>
          <w:insideV w:val="single" w:color="90ee90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8" w:id="38"/>
            <w:r>
              <w:rPr>
                <w:rFonts w:eastAsia="等线" w:ascii="Arial" w:cs="Arial" w:hAnsi="Arial"/>
                <w:b w:val="true"/>
                <w:sz w:val="28"/>
              </w:rPr>
              <w:t>AI+监管申报资料撰写提速方案</w:t>
            </w:r>
            <w:bookmarkEnd w:id="38"/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：采用“监管申报平台（iRegulatory/Veeva Vault）+ LLM（RegulatoryGPT/FDA AI Assist）+ 模板库（FDA eCTD/NMPA CTD模板）”组合，输入前期积累的全流程数据（CMC数据、非临床报告、临床试验数据），导入FDA《LBP申报指导原则》《中国药典生物制品申报要求》等法规文件。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核心撰写功能</w:t>
            </w:r>
            <w:r>
              <w:rPr>
                <w:rFonts w:eastAsia="等线" w:ascii="Arial" w:cs="Arial" w:hAnsi="Arial"/>
                <w:sz w:val="22"/>
              </w:rPr>
              <w:t>：①</w:t>
            </w:r>
            <w:r>
              <w:rPr>
                <w:rFonts w:eastAsia="等线" w:ascii="Arial" w:cs="Arial" w:hAnsi="Arial"/>
                <w:b w:val="true"/>
                <w:sz w:val="22"/>
              </w:rPr>
              <w:t>资料结构化整合与填充</w:t>
            </w:r>
            <w:r>
              <w:rPr>
                <w:rFonts w:eastAsia="等线" w:ascii="Arial" w:cs="Arial" w:hAnsi="Arial"/>
                <w:sz w:val="22"/>
              </w:rPr>
              <w:t>：LLM自动识别数据类型并匹配eCTD/CTD模板对应章节，如将“50L发酵罐批次数据”填充至CMC章节的“生产工艺验证”部分，将“大鼠长期毒性数据”导入非临床章节的“重复给药毒性”部分，自动生成标准化表格及图表（如批次稳定性趋势图）；②</w:t>
            </w:r>
            <w:r>
              <w:rPr>
                <w:rFonts w:eastAsia="等线" w:ascii="Arial" w:cs="Arial" w:hAnsi="Arial"/>
                <w:b w:val="true"/>
                <w:sz w:val="22"/>
              </w:rPr>
              <w:t>法规符合性校验</w:t>
            </w:r>
            <w:r>
              <w:rPr>
                <w:rFonts w:eastAsia="等线" w:ascii="Arial" w:cs="Arial" w:hAnsi="Arial"/>
                <w:sz w:val="22"/>
              </w:rPr>
              <w:t>：实时比对撰写内容与最新法规要求，如FDA 2024年更新的LBP基因组稳定性申报要求，自动提示“需补充传代20次后的甲基化测序数据”等缺失项，标注“符合”“待补充”“不符合”状态；③</w:t>
            </w:r>
            <w:r>
              <w:rPr>
                <w:rFonts w:eastAsia="等线" w:ascii="Arial" w:cs="Arial" w:hAnsi="Arial"/>
                <w:b w:val="true"/>
                <w:sz w:val="22"/>
              </w:rPr>
              <w:t>跨区域格式适配</w:t>
            </w:r>
            <w:r>
              <w:rPr>
                <w:rFonts w:eastAsia="等线" w:ascii="Arial" w:cs="Arial" w:hAnsi="Arial"/>
                <w:sz w:val="22"/>
              </w:rPr>
              <w:t>：一键转换申报资料格式，如将NMPA CTD格式转换为FDA eCTD 4.0格式，自动调整术语表述（如“活菌数”对应英文“viable count”）及数据单位（如μg/g转换为mg/kg）；④</w:t>
            </w:r>
            <w:r>
              <w:rPr>
                <w:rFonts w:eastAsia="等线" w:ascii="Arial" w:cs="Arial" w:hAnsi="Arial"/>
                <w:b w:val="true"/>
                <w:sz w:val="22"/>
              </w:rPr>
              <w:t>常见问题自动修正</w:t>
            </w:r>
            <w:r>
              <w:rPr>
                <w:rFonts w:eastAsia="等线" w:ascii="Arial" w:cs="Arial" w:hAnsi="Arial"/>
                <w:sz w:val="22"/>
              </w:rPr>
              <w:t>：针对历史申报中高频缺陷（如“临床试验样本量计算依据不足”“质量标准检测方法学验证不完整”），LLM自动补充相关依据，如引用《临床试验样本量估算指南》或完善HPLC方法学的精密度数据。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Ⅰ-Ⅲ期临床试验申报资料撰写周期从3-4个月缩短至1个月，资料完整性达98%（人工撰写通常为80%），法规符合性校验通过率提升至95%，减少因格式错误、内容缺失导致的补正次数（平均从3次降至1次），加速申报审批进程。</w:t>
            </w:r>
          </w:p>
        </w:tc>
      </w:tr>
    </w:tbl>
    <w:p/>
    <w:tbl>
      <w:tblPr>
        <w:tblW w:w="0" w:type="auto"/>
        <w:tblInd w:w="0" w:type="dxa"/>
        <w:tblBorders>
          <w:top w:val="single" w:color="90ee90"/>
          <w:left w:val="single" w:color="90ee90"/>
          <w:bottom w:val="single" w:color="90ee90"/>
          <w:right w:val="single" w:color="90ee90"/>
          <w:insideH w:val="single" w:color="90ee90"/>
          <w:insideV w:val="single" w:color="90ee90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9" w:id="39"/>
            <w:r>
              <w:rPr>
                <w:rFonts w:eastAsia="等线" w:ascii="Arial" w:cs="Arial" w:hAnsi="Arial"/>
                <w:b w:val="true"/>
                <w:sz w:val="28"/>
              </w:rPr>
              <w:t>AI+全球知识产权评估方案</w:t>
            </w:r>
            <w:bookmarkEnd w:id="39"/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：采用“专利数据库（PatSnap/Derwent）+ LLM（PatentGPT/Google Scholar AI）+ 法律知识库（LexisNexis Legal Intelligence）”组合，输入候选菌株核心技术信息（如独特黏附蛋白序列、发酵工艺参数、抑菌机制）、菌株属名及“呼吸道LBP”“COPD治疗”等关键词，同步导入全球近10年LBP相关专利数据（含同族专利、法律状态）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核心评估功能</w:t>
            </w:r>
            <w:r>
              <w:rPr>
                <w:rFonts w:eastAsia="等线" w:ascii="Arial" w:cs="Arial" w:hAnsi="Arial"/>
                <w:sz w:val="22"/>
              </w:rPr>
              <w:t>：①</w:t>
            </w:r>
            <w:r>
              <w:rPr>
                <w:rFonts w:eastAsia="等线" w:ascii="Arial" w:cs="Arial" w:hAnsi="Arial"/>
                <w:b w:val="true"/>
                <w:sz w:val="22"/>
              </w:rPr>
              <w:t>专利查新与创新性判定</w:t>
            </w:r>
            <w:r>
              <w:rPr>
                <w:rFonts w:eastAsia="等线" w:ascii="Arial" w:cs="Arial" w:hAnsi="Arial"/>
                <w:sz w:val="22"/>
              </w:rPr>
              <w:t>：LLM自动比对核心技术与现有专利的技术特征差异，生成“技术重合度报告”，区分“已有技术”“改进型创新”“突破性创新”，如针对“靶向肺部上皮细胞的黏附增强技术”，明确其与专利US20230123456A1的差异点（如结合位点不同）；②</w:t>
            </w:r>
            <w:r>
              <w:rPr>
                <w:rFonts w:eastAsia="等线" w:ascii="Arial" w:cs="Arial" w:hAnsi="Arial"/>
                <w:b w:val="true"/>
                <w:sz w:val="22"/>
              </w:rPr>
              <w:t>侵权风险预警</w:t>
            </w:r>
            <w:r>
              <w:rPr>
                <w:rFonts w:eastAsia="等线" w:ascii="Arial" w:cs="Arial" w:hAnsi="Arial"/>
                <w:sz w:val="22"/>
              </w:rPr>
              <w:t>：通过语义分析及权利要求拆解，识别全球范围内高风险专利（如权利要求覆盖“乳杆菌属+铜绿假单胞菌抑制+呼吸道给药”的专利），标注专利有效性（如是否处于有效期、有无无效诉讼记录）及侵权可能性评级（高/中/低）；③</w:t>
            </w:r>
            <w:r>
              <w:rPr>
                <w:rFonts w:eastAsia="等线" w:ascii="Arial" w:cs="Arial" w:hAnsi="Arial"/>
                <w:b w:val="true"/>
                <w:sz w:val="22"/>
              </w:rPr>
              <w:t>专利布局建议</w:t>
            </w:r>
            <w:r>
              <w:rPr>
                <w:rFonts w:eastAsia="等线" w:ascii="Arial" w:cs="Arial" w:hAnsi="Arial"/>
                <w:sz w:val="22"/>
              </w:rPr>
              <w:t>：结合主要目标市场（中国、美国、欧洲、日本）的LBP专利授权率数据，LLM推荐专利申请类型（发明专利/实用新型/外观设计）及核心权利要求撰写方向，如建议将“发酵工艺参数组合”“制剂辅料配比”单独申报专利以构建保护网；④</w:t>
            </w:r>
            <w:r>
              <w:rPr>
                <w:rFonts w:eastAsia="等线" w:ascii="Arial" w:cs="Arial" w:hAnsi="Arial"/>
                <w:b w:val="true"/>
                <w:sz w:val="22"/>
              </w:rPr>
              <w:t>自由实施（FTO）分析</w:t>
            </w:r>
            <w:r>
              <w:rPr>
                <w:rFonts w:eastAsia="等线" w:ascii="Arial" w:cs="Arial" w:hAnsi="Arial"/>
                <w:sz w:val="22"/>
              </w:rPr>
              <w:t>：自动生成FTO报告，明确“可自由实施的技术范围”及“需规避/许可的专利清单”，并关联专利持有人联系方式及许可历史数据。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：人工完成全球知识产权评估需4-6周，AI方案缩短至5个工作日，创新性判定准确率达90%，侵权风险漏判率≤5%，为专利申请节省30%的前期调研时间，避免因侵权导致的研发终止风险。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本阶段通过人体临床试验验证菌株的安全性、有效性，同时完善CDx开发及商业化准备，核心目标是获取“明确、可证明的临床终点改善”证据，满足监管审批要求。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5.1 Ⅰ期临床试验——安全性与药代动力学</w:t>
      </w:r>
      <w:bookmarkEnd w:id="40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试验设计</w:t>
      </w:r>
      <w:r>
        <w:rPr>
          <w:rFonts w:eastAsia="等线" w:ascii="Arial" w:cs="Arial" w:hAnsi="Arial"/>
          <w:sz w:val="22"/>
        </w:rPr>
        <w:t>：单中心、随机、双盲、安慰剂对照试验，纳入30例健康志愿者，分为低、中、高三个剂量组（分别为10^9、10^10、10^11 CFU/次），通过雾化器给药，每周3次，连续4周。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1" w:id="41"/>
            <w:r>
              <w:rPr>
                <w:rFonts w:eastAsia="等线" w:ascii="Arial" w:cs="Arial" w:hAnsi="Arial"/>
                <w:b w:val="true"/>
                <w:sz w:val="30"/>
              </w:rPr>
              <w:t>Ⅰ期临床设计：文献数据的剂量预测方案</w:t>
            </w:r>
            <w:bookmarkEnd w:id="41"/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剂量范围检索</w:t>
            </w:r>
            <w:r>
              <w:rPr>
                <w:rFonts w:eastAsia="等线" w:ascii="Arial" w:cs="Arial" w:hAnsi="Arial"/>
                <w:sz w:val="22"/>
              </w:rPr>
              <w:t>：检索“呼吸道LBP Ⅰ期临床试验 剂量”“COPD 生物制剂 起始剂量”“益生菌 人体给药 安全剂量”，重点收集已通过伦理的人体试验数据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剂量确定依据</w:t>
            </w:r>
            <w:r>
              <w:rPr>
                <w:rFonts w:eastAsia="等线" w:ascii="Arial" w:cs="Arial" w:hAnsi="Arial"/>
                <w:sz w:val="22"/>
              </w:rPr>
              <w:t>：①安全上限：参考文献中同类菌株的最大耐受剂量（如某呼吸道LBP的10^12 CFU/次无不良反应，可将高剂量设定为10^11 CFU/次以确保安全）；②有效剂量参考：结合动物实验中“有效剂量换算成人体剂量”的文献公式（如大鼠剂量×6.25=人体剂量），避免剂量过低导致无效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给药频次参考</w:t>
            </w:r>
            <w:r>
              <w:rPr>
                <w:rFonts w:eastAsia="等线" w:ascii="Arial" w:cs="Arial" w:hAnsi="Arial"/>
                <w:sz w:val="22"/>
              </w:rPr>
              <w:t>：检索“雾化LBP 肺部定植 给药频率”，文献中多为每周3次即可维持定植，无需测试每日给药方案</w:t>
            </w:r>
          </w:p>
        </w:tc>
      </w:tr>
    </w:tbl>
    <w:p/>
    <w:tbl>
      <w:tblPr>
        <w:tblW w:w="0" w:type="auto"/>
        <w:tblInd w:w="0" w:type="dxa"/>
        <w:tblBorders>
          <w:top w:val="single" w:color="6495ed"/>
          <w:left w:val="single" w:color="6495ed"/>
          <w:bottom w:val="single" w:color="6495ed"/>
          <w:right w:val="single" w:color="6495ed"/>
          <w:insideH w:val="single" w:color="6495ed"/>
          <w:insideV w:val="single" w:color="6495e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2" w:id="42"/>
            <w:r>
              <w:rPr>
                <w:rFonts w:eastAsia="等线" w:ascii="Arial" w:cs="Arial" w:hAnsi="Arial"/>
                <w:b w:val="true"/>
                <w:sz w:val="30"/>
              </w:rPr>
              <w:t>AI+知识库提效方案：Ⅰ期临床剂量智能换算与方案优化</w:t>
            </w:r>
            <w:bookmarkEnd w:id="42"/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AI工具与数据输入</w:t>
            </w:r>
            <w:r>
              <w:rPr>
                <w:rFonts w:eastAsia="等线" w:ascii="Arial" w:cs="Arial" w:hAnsi="Arial"/>
                <w:sz w:val="22"/>
              </w:rPr>
              <w:t>：采用LLM（GPT-4结合临床试验数据库ClinicalTrials.gov）及药代动力学预测模型（PK-Sim），输入“大鼠 植物乳杆菌 有效剂量10^9 CFU/只”“呼吸道LBP 人体安全剂量”，导入50组同类生物制剂的动物-人体剂量换算数据。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智能分析功能</w:t>
            </w:r>
            <w:r>
              <w:rPr>
                <w:rFonts w:eastAsia="等线" w:ascii="Arial" w:cs="Arial" w:hAnsi="Arial"/>
                <w:sz w:val="22"/>
              </w:rPr>
              <w:t>：①LLM自动提取文献中动物-人体剂量换算公式（如体表面积法、体重法），结合菌株特性（雾化给药、肺部吸收）选择最优公式（体表面积法：人体剂量=大鼠剂量×0.081），计算出人体起始剂量10^8 CFU/次；②PK-Sim模型模拟不同剂量下肺部药物浓度变化，预测高剂量10^11 CFU/次时肺部浓度达峰时间（4小时）及清除半衰期（72小时），支撑“每周3次”给药频次；③自动生成Ⅰ期临床试验方案框架（含伦理审查要点、不良事件分级标准）。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提效成果</w:t>
            </w:r>
            <w:r>
              <w:rPr>
                <w:rFonts w:eastAsia="等线" w:ascii="Arial" w:cs="Arial" w:hAnsi="Arial"/>
                <w:sz w:val="22"/>
              </w:rPr>
              <w:t>：剂量换算与方案设计时间从10天缩短至2天，避免因剂量设定错误导致的临床试验暂停风险（如剂量过高引发不良反应），方案伦理通过率提升至90%。</w:t>
            </w:r>
          </w:p>
        </w:tc>
      </w:tr>
    </w:tbl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检测指标</w:t>
      </w:r>
      <w:r>
        <w:rPr>
          <w:rFonts w:eastAsia="等线" w:ascii="Arial" w:cs="Arial" w:hAnsi="Arial"/>
          <w:sz w:val="22"/>
        </w:rPr>
        <w:t>：①安全性：不良事件发生率、血常规、肝肾功能、肺部CT、气道反应性；②药代动力学：BALF及血液中菌株检出时间、清除速率；③初步有效性：肺部炎症因子（IL-6、TNF-α）水平变化。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试验终点</w:t>
      </w:r>
      <w:r>
        <w:rPr>
          <w:rFonts w:eastAsia="等线" w:ascii="Arial" w:cs="Arial" w:hAnsi="Arial"/>
          <w:sz w:val="22"/>
        </w:rPr>
        <w:t>：确定最大耐受剂量（MTD），验证低、中剂量的安全性（不良事件发生率≤10%，且为轻度），明确菌株在人体肺部的定植时间（≥7天）。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5.2 Ⅱ期临床试验——有效性初步验证与剂量探索</w:t>
      </w:r>
      <w:bookmarkEnd w:id="43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试验设计</w:t>
      </w:r>
      <w:r>
        <w:rPr>
          <w:rFonts w:eastAsia="等线" w:ascii="Arial" w:cs="Arial" w:hAnsi="Arial"/>
          <w:sz w:val="22"/>
        </w:rPr>
        <w:t>：多中心、随机、双盲、安慰剂对照试验，纳入120例COPD稳定期患者（合并铜绿假单胞菌/金葡菌定植），按1:1:1分为安慰剂组、中剂量组、高剂量组，雾化给药，每日1次，连续24周。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检测指标</w:t>
      </w:r>
      <w:r>
        <w:rPr>
          <w:rFonts w:eastAsia="等线" w:ascii="Arial" w:cs="Arial" w:hAnsi="Arial"/>
          <w:sz w:val="22"/>
        </w:rPr>
        <w:t>：①主要指标：急性加重发生率、BALF中病原菌清除率；②次要指标：肺功能（FEV1、FVC）、呼吸困难评分（mMRC）、炎症因子水平；③安全性：长期用药不良事件、耐药基因产生情况。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试验终点</w:t>
      </w:r>
      <w:r>
        <w:rPr>
          <w:rFonts w:eastAsia="等线" w:ascii="Arial" w:cs="Arial" w:hAnsi="Arial"/>
          <w:sz w:val="22"/>
        </w:rPr>
        <w:t>：确定最优给药剂量（中剂量或高剂量），验证菌株能降低急性加重发生率≥30%，病原菌清除率≥50%，且安全性良好。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5.3 Ⅲ期临床试验——确证性有效性与广泛安全性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本阶段是商业化关键，需满足“Top 1核心生存能力”中的“明确临床终点改善”要求：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试验设计</w:t>
      </w:r>
      <w:r>
        <w:rPr>
          <w:rFonts w:eastAsia="等线" w:ascii="Arial" w:cs="Arial" w:hAnsi="Arial"/>
          <w:sz w:val="22"/>
        </w:rPr>
        <w:t>：多中心、随机、双盲、安慰剂对照试验，纳入600例COPD患者（含急性加重高风险人群），按1:1分为试验组（最优剂量）和安慰剂组，雾化给药，每日1次，连续52周。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检测指标</w:t>
      </w:r>
      <w:r>
        <w:rPr>
          <w:rFonts w:eastAsia="等线" w:ascii="Arial" w:cs="Arial" w:hAnsi="Arial"/>
          <w:sz w:val="22"/>
        </w:rPr>
        <w:t>：①主要临床终点：52周内急性加重次数（要求试验组较安慰剂组降低≥40%）、住院率（降低≥35%）；②次要终点：FEV1改善率（≥15%）、mMRC评分降低≥1分、BALF中病原菌载量降低≥60%；③安全性：严重不良事件发生率、免疫低下患者用药安全性（亚组分析）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CDx同步验证</w:t>
      </w:r>
      <w:r>
        <w:rPr>
          <w:rFonts w:eastAsia="等线" w:ascii="Arial" w:cs="Arial" w:hAnsi="Arial"/>
          <w:sz w:val="22"/>
        </w:rPr>
        <w:t>：采用开发的CDx试剂盒对患者进行筛查，分析“响应者”（生物标志物阳性）与“非响应者”的疗效差异，要求响应者的急性加重降低率≥50%，验证CDx准确率≥85%。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5.4 临床试验结果分析与总结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Ⅲ期临床试验数据进行统计学分析，重点验证：①核心疗效指标（急性加重次数、住院率）的显著性差异；②长期用药安全性；③CDx的筛选价值。输出《临床试验总结报告》，明确菌株的临床定位（COPD急性加重预防与治疗）、给药方案（剂量、频次、疗程）及适用人群（CDx筛选阳性的COPD患者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第六模块：监管审批与商业化——从“药物”到“产品”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本阶段完成药品注册申报、审批，同时落地规模化生产、市场推广等商业化环节，实现LBP从药物到临床可用产品的转化。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6.1 药品注册申报与审批</w:t>
      </w:r>
      <w:bookmarkEnd w:id="47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申报资料准备</w:t>
      </w:r>
      <w:r>
        <w:rPr>
          <w:rFonts w:eastAsia="等线" w:ascii="Arial" w:cs="Arial" w:hAnsi="Arial"/>
          <w:sz w:val="22"/>
        </w:rPr>
        <w:t>：按FDA/NMPA要求整理申报资料，包括：①CMC资料（生产工艺、质量标准、稳定性数据）；②非临床资料（药效学、毒理学、药代动力学报告）；③临床资料（Ⅰ-Ⅲ期临床试验总结报告）；④CDx配套资料（检测方法、有效性验证数据）；⑤知识产权相关资料（FTO报告、自有专利证书及缴费证明、许可协议（若有））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沟通与审批</w:t>
      </w:r>
      <w:r>
        <w:rPr>
          <w:rFonts w:eastAsia="等线" w:ascii="Arial" w:cs="Arial" w:hAnsi="Arial"/>
          <w:sz w:val="22"/>
        </w:rPr>
        <w:t>：与监管机构进行pre-NDA沟通，明确审批焦点；提交注册申请后，配合完成现场核查（生产场地、临床试验数据）；针对审批意见补充研究资料，最终获取药品注册批件。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6.2 规模化生产落地</w:t>
      </w:r>
      <w:bookmarkEnd w:id="48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按GMP标准完成生产车间建设与认证，启动生产线调试，实现产能达标（≥1000万剂/年）；②建立供应链体系，确保辅料（甘露醇、乳糖）、雾化器设备的稳定供应；③制定批次放行标准，实现每批次产品质量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6.3 市场转化与推广</w:t>
      </w:r>
      <w:bookmarkEnd w:id="49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产品定位与定价</w:t>
      </w:r>
      <w:r>
        <w:rPr>
          <w:rFonts w:eastAsia="等线" w:ascii="Arial" w:cs="Arial" w:hAnsi="Arial"/>
          <w:sz w:val="22"/>
        </w:rPr>
        <w:t>：定位为“COPD急性加重预防与治疗的靶向LBP药物”，结合生产成本、临床价值及竞品价格，制定合理定价策略。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学术推广</w:t>
      </w:r>
      <w:r>
        <w:rPr>
          <w:rFonts w:eastAsia="等线" w:ascii="Arial" w:cs="Arial" w:hAnsi="Arial"/>
          <w:sz w:val="22"/>
        </w:rPr>
        <w:t>：通过呼吸科学术会议、专家共识制定等方式，传递菌株的核心优势（定植能力、抑菌效果、联合用药安全性）；培训临床医生使用CDx筛选适用患者。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患者教育</w:t>
      </w:r>
      <w:r>
        <w:rPr>
          <w:rFonts w:eastAsia="等线" w:ascii="Arial" w:cs="Arial" w:hAnsi="Arial"/>
          <w:sz w:val="22"/>
        </w:rPr>
        <w:t>：制作简易操作手册，指导患者正确使用雾化器给药；通过患者组织、科普平台宣传产品的起效特点及依从性要求。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售后监测</w:t>
      </w:r>
      <w:r>
        <w:rPr>
          <w:rFonts w:eastAsia="等线" w:ascii="Arial" w:cs="Arial" w:hAnsi="Arial"/>
          <w:sz w:val="22"/>
        </w:rPr>
        <w:t>：建立药品不良反应监测体系，长期跟踪患者用药安全性；收集临床真实世界数据，为产品适应症扩展（如哮喘）提供依据。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第七模块：流程闭环——持续优化与管线扩展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产品上市后，基于临床反馈及技术进步持续优化，同时挖掘菌株的跨疾病潜力，形成“核心产品+管线扩展”的商业布局。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产品优化</w:t>
      </w:r>
      <w:r>
        <w:rPr>
          <w:rFonts w:eastAsia="等线" w:ascii="Arial" w:cs="Arial" w:hAnsi="Arial"/>
          <w:sz w:val="22"/>
        </w:rPr>
        <w:t>：根据真实世界数据，优化制剂配方（如采用微胶囊化技术提高稳定性）、给药设备（适配更多类型吸入器）；更新CDx试剂盒，提高响应者筛选准确率。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管线扩展</w:t>
      </w:r>
      <w:r>
        <w:rPr>
          <w:rFonts w:eastAsia="等线" w:ascii="Arial" w:cs="Arial" w:hAnsi="Arial"/>
          <w:sz w:val="22"/>
        </w:rPr>
        <w:t>：基于菌株的“生态修复”能力，开展哮喘、囊性纤维化（CF）等呼吸道疾病的临床前研究，拓展适应症；开发针对不同病原菌的衍生菌株，形成产品矩阵。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流程核心逻辑总结</w:t>
      </w:r>
      <w:bookmarkEnd w:id="51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技术沉淀</w:t>
      </w:r>
      <w:r>
        <w:rPr>
          <w:rFonts w:eastAsia="等线" w:ascii="Arial" w:cs="Arial" w:hAnsi="Arial"/>
          <w:sz w:val="22"/>
        </w:rPr>
        <w:t>：总结LBP开发经验，建立“菌株筛选-性能验证-临床转化-知识产权保护”的标准化流程，为后续新LBP开发提供技术支撑。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本LBP开发流程以“Top 1核心生存能力”为刚性底线，以“Top 2差异化能力”构建竞争壁垒，以“Top 3商业化能力”实现落地价值，全程围绕“COPD临床需求”展开，每个阶段均输出可量化的验证数据。AI团队可基于此流程，将各环节的“输入（如菌株指标）-输出（如验证结果）”转化为数据维度，构建AIDD模型，实现LBP开发的智能化筛选、预测、知识产权保护与监管申报优化，形成全流程AI赋能体系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4597">
    <w:lvl>
      <w:numFmt w:val="bullet"/>
      <w:suff w:val="tab"/>
      <w:lvlText w:val="•"/>
      <w:rPr>
        <w:color w:val="3370ff"/>
      </w:rPr>
    </w:lvl>
  </w:abstractNum>
  <w:abstractNum w:abstractNumId="644598">
    <w:lvl>
      <w:numFmt w:val="bullet"/>
      <w:suff w:val="tab"/>
      <w:lvlText w:val="•"/>
      <w:rPr>
        <w:color w:val="3370ff"/>
      </w:rPr>
    </w:lvl>
  </w:abstractNum>
  <w:abstractNum w:abstractNumId="644599">
    <w:lvl>
      <w:numFmt w:val="bullet"/>
      <w:suff w:val="tab"/>
      <w:lvlText w:val="•"/>
      <w:rPr>
        <w:color w:val="3370ff"/>
      </w:rPr>
    </w:lvl>
  </w:abstractNum>
  <w:abstractNum w:abstractNumId="644600">
    <w:lvl>
      <w:numFmt w:val="bullet"/>
      <w:suff w:val="tab"/>
      <w:lvlText w:val="•"/>
      <w:rPr>
        <w:color w:val="3370ff"/>
      </w:rPr>
    </w:lvl>
  </w:abstractNum>
  <w:abstractNum w:abstractNumId="644601">
    <w:lvl>
      <w:numFmt w:val="bullet"/>
      <w:suff w:val="tab"/>
      <w:lvlText w:val="•"/>
      <w:rPr>
        <w:color w:val="3370ff"/>
      </w:rPr>
    </w:lvl>
  </w:abstractNum>
  <w:abstractNum w:abstractNumId="644602">
    <w:lvl>
      <w:numFmt w:val="bullet"/>
      <w:suff w:val="tab"/>
      <w:lvlText w:val="•"/>
      <w:rPr>
        <w:color w:val="3370ff"/>
      </w:rPr>
    </w:lvl>
  </w:abstractNum>
  <w:abstractNum w:abstractNumId="644603">
    <w:lvl>
      <w:numFmt w:val="bullet"/>
      <w:suff w:val="tab"/>
      <w:lvlText w:val="•"/>
      <w:rPr>
        <w:color w:val="3370ff"/>
      </w:rPr>
    </w:lvl>
  </w:abstractNum>
  <w:abstractNum w:abstractNumId="644604">
    <w:lvl>
      <w:numFmt w:val="bullet"/>
      <w:suff w:val="tab"/>
      <w:lvlText w:val="•"/>
      <w:rPr>
        <w:color w:val="3370ff"/>
      </w:rPr>
    </w:lvl>
  </w:abstractNum>
  <w:abstractNum w:abstractNumId="644605">
    <w:lvl>
      <w:numFmt w:val="bullet"/>
      <w:suff w:val="tab"/>
      <w:lvlText w:val="•"/>
      <w:rPr>
        <w:color w:val="3370ff"/>
      </w:rPr>
    </w:lvl>
  </w:abstractNum>
  <w:abstractNum w:abstractNumId="644606">
    <w:lvl>
      <w:numFmt w:val="bullet"/>
      <w:suff w:val="tab"/>
      <w:lvlText w:val="•"/>
      <w:rPr>
        <w:color w:val="3370ff"/>
      </w:rPr>
    </w:lvl>
  </w:abstractNum>
  <w:abstractNum w:abstractNumId="644607">
    <w:lvl>
      <w:numFmt w:val="bullet"/>
      <w:suff w:val="tab"/>
      <w:lvlText w:val="•"/>
      <w:rPr>
        <w:color w:val="3370ff"/>
      </w:rPr>
    </w:lvl>
  </w:abstractNum>
  <w:abstractNum w:abstractNumId="644608">
    <w:lvl>
      <w:numFmt w:val="bullet"/>
      <w:suff w:val="tab"/>
      <w:lvlText w:val="•"/>
      <w:rPr>
        <w:color w:val="3370ff"/>
      </w:rPr>
    </w:lvl>
  </w:abstractNum>
  <w:abstractNum w:abstractNumId="644609">
    <w:lvl>
      <w:numFmt w:val="bullet"/>
      <w:suff w:val="tab"/>
      <w:lvlText w:val="•"/>
      <w:rPr>
        <w:color w:val="3370ff"/>
      </w:rPr>
    </w:lvl>
  </w:abstractNum>
  <w:abstractNum w:abstractNumId="644610">
    <w:lvl>
      <w:numFmt w:val="bullet"/>
      <w:suff w:val="tab"/>
      <w:lvlText w:val="•"/>
      <w:rPr>
        <w:color w:val="3370ff"/>
      </w:rPr>
    </w:lvl>
  </w:abstractNum>
  <w:abstractNum w:abstractNumId="644611">
    <w:lvl>
      <w:numFmt w:val="bullet"/>
      <w:suff w:val="tab"/>
      <w:lvlText w:val="•"/>
      <w:rPr>
        <w:color w:val="3370ff"/>
      </w:rPr>
    </w:lvl>
  </w:abstractNum>
  <w:abstractNum w:abstractNumId="644612">
    <w:lvl>
      <w:start w:val="1"/>
      <w:numFmt w:val="decimal"/>
      <w:suff w:val="tab"/>
      <w:lvlText w:val="%1."/>
      <w:rPr>
        <w:color w:val="3370ff"/>
      </w:rPr>
    </w:lvl>
  </w:abstractNum>
  <w:abstractNum w:abstractNumId="644613">
    <w:lvl>
      <w:start w:val="2"/>
      <w:numFmt w:val="decimal"/>
      <w:suff w:val="tab"/>
      <w:lvlText w:val="%1."/>
      <w:rPr>
        <w:color w:val="3370ff"/>
      </w:rPr>
    </w:lvl>
  </w:abstractNum>
  <w:abstractNum w:abstractNumId="644614">
    <w:lvl>
      <w:start w:val="3"/>
      <w:numFmt w:val="decimal"/>
      <w:suff w:val="tab"/>
      <w:lvlText w:val="%1."/>
      <w:rPr>
        <w:color w:val="3370ff"/>
      </w:rPr>
    </w:lvl>
  </w:abstractNum>
  <w:abstractNum w:abstractNumId="644615">
    <w:lvl>
      <w:numFmt w:val="bullet"/>
      <w:suff w:val="tab"/>
      <w:lvlText w:val="•"/>
      <w:rPr>
        <w:color w:val="3370ff"/>
      </w:rPr>
    </w:lvl>
  </w:abstractNum>
  <w:abstractNum w:abstractNumId="644616">
    <w:lvl>
      <w:numFmt w:val="bullet"/>
      <w:suff w:val="tab"/>
      <w:lvlText w:val="•"/>
      <w:rPr>
        <w:color w:val="3370ff"/>
      </w:rPr>
    </w:lvl>
  </w:abstractNum>
  <w:abstractNum w:abstractNumId="644617">
    <w:lvl>
      <w:numFmt w:val="bullet"/>
      <w:suff w:val="tab"/>
      <w:lvlText w:val="•"/>
      <w:rPr>
        <w:color w:val="3370ff"/>
      </w:rPr>
    </w:lvl>
  </w:abstractNum>
  <w:abstractNum w:abstractNumId="644618">
    <w:lvl>
      <w:numFmt w:val="bullet"/>
      <w:suff w:val="tab"/>
      <w:lvlText w:val="•"/>
      <w:rPr>
        <w:color w:val="3370ff"/>
      </w:rPr>
    </w:lvl>
  </w:abstractNum>
  <w:abstractNum w:abstractNumId="644619">
    <w:lvl>
      <w:numFmt w:val="bullet"/>
      <w:suff w:val="tab"/>
      <w:lvlText w:val="•"/>
      <w:rPr>
        <w:color w:val="3370ff"/>
      </w:rPr>
    </w:lvl>
  </w:abstractNum>
  <w:abstractNum w:abstractNumId="644620">
    <w:lvl>
      <w:numFmt w:val="bullet"/>
      <w:suff w:val="tab"/>
      <w:lvlText w:val="•"/>
      <w:rPr>
        <w:color w:val="3370ff"/>
      </w:rPr>
    </w:lvl>
  </w:abstractNum>
  <w:abstractNum w:abstractNumId="644621">
    <w:lvl>
      <w:numFmt w:val="bullet"/>
      <w:suff w:val="tab"/>
      <w:lvlText w:val="•"/>
      <w:rPr>
        <w:color w:val="3370ff"/>
      </w:rPr>
    </w:lvl>
  </w:abstractNum>
  <w:abstractNum w:abstractNumId="644622">
    <w:lvl>
      <w:numFmt w:val="bullet"/>
      <w:suff w:val="tab"/>
      <w:lvlText w:val="•"/>
      <w:rPr>
        <w:color w:val="3370ff"/>
      </w:rPr>
    </w:lvl>
  </w:abstractNum>
  <w:abstractNum w:abstractNumId="644623">
    <w:lvl>
      <w:start w:val="1"/>
      <w:numFmt w:val="decimal"/>
      <w:suff w:val="tab"/>
      <w:lvlText w:val="%1."/>
      <w:rPr>
        <w:color w:val="3370ff"/>
      </w:rPr>
    </w:lvl>
  </w:abstractNum>
  <w:abstractNum w:abstractNumId="644624">
    <w:lvl>
      <w:start w:val="2"/>
      <w:numFmt w:val="decimal"/>
      <w:suff w:val="tab"/>
      <w:lvlText w:val="%1."/>
      <w:rPr>
        <w:color w:val="3370ff"/>
      </w:rPr>
    </w:lvl>
  </w:abstractNum>
  <w:abstractNum w:abstractNumId="644625">
    <w:lvl>
      <w:start w:val="3"/>
      <w:numFmt w:val="decimal"/>
      <w:suff w:val="tab"/>
      <w:lvlText w:val="%1."/>
      <w:rPr>
        <w:color w:val="3370ff"/>
      </w:rPr>
    </w:lvl>
  </w:abstractNum>
  <w:abstractNum w:abstractNumId="644626">
    <w:lvl>
      <w:numFmt w:val="bullet"/>
      <w:suff w:val="tab"/>
      <w:lvlText w:val="•"/>
      <w:rPr>
        <w:color w:val="3370ff"/>
      </w:rPr>
    </w:lvl>
  </w:abstractNum>
  <w:abstractNum w:abstractNumId="644627">
    <w:lvl>
      <w:numFmt w:val="bullet"/>
      <w:suff w:val="tab"/>
      <w:lvlText w:val="•"/>
      <w:rPr>
        <w:color w:val="3370ff"/>
      </w:rPr>
    </w:lvl>
  </w:abstractNum>
  <w:abstractNum w:abstractNumId="644628">
    <w:lvl>
      <w:numFmt w:val="bullet"/>
      <w:suff w:val="tab"/>
      <w:lvlText w:val="•"/>
      <w:rPr>
        <w:color w:val="3370ff"/>
      </w:rPr>
    </w:lvl>
  </w:abstractNum>
  <w:abstractNum w:abstractNumId="644629">
    <w:lvl>
      <w:numFmt w:val="bullet"/>
      <w:suff w:val="tab"/>
      <w:lvlText w:val="•"/>
      <w:rPr>
        <w:color w:val="3370ff"/>
      </w:rPr>
    </w:lvl>
  </w:abstractNum>
  <w:abstractNum w:abstractNumId="644630">
    <w:lvl>
      <w:numFmt w:val="bullet"/>
      <w:suff w:val="tab"/>
      <w:lvlText w:val="•"/>
      <w:rPr>
        <w:color w:val="3370ff"/>
      </w:rPr>
    </w:lvl>
  </w:abstractNum>
  <w:abstractNum w:abstractNumId="644631">
    <w:lvl>
      <w:numFmt w:val="bullet"/>
      <w:suff w:val="tab"/>
      <w:lvlText w:val="•"/>
      <w:rPr>
        <w:color w:val="3370ff"/>
      </w:rPr>
    </w:lvl>
  </w:abstractNum>
  <w:abstractNum w:abstractNumId="644632">
    <w:lvl>
      <w:numFmt w:val="bullet"/>
      <w:suff w:val="tab"/>
      <w:lvlText w:val="•"/>
      <w:rPr>
        <w:color w:val="3370ff"/>
      </w:rPr>
    </w:lvl>
  </w:abstractNum>
  <w:abstractNum w:abstractNumId="644633">
    <w:lvl>
      <w:numFmt w:val="bullet"/>
      <w:suff w:val="tab"/>
      <w:lvlText w:val="•"/>
      <w:rPr>
        <w:color w:val="3370ff"/>
      </w:rPr>
    </w:lvl>
  </w:abstractNum>
  <w:abstractNum w:abstractNumId="644634">
    <w:lvl>
      <w:numFmt w:val="bullet"/>
      <w:suff w:val="tab"/>
      <w:lvlText w:val="•"/>
      <w:rPr>
        <w:color w:val="3370ff"/>
      </w:rPr>
    </w:lvl>
  </w:abstractNum>
  <w:abstractNum w:abstractNumId="644635">
    <w:lvl>
      <w:numFmt w:val="bullet"/>
      <w:suff w:val="tab"/>
      <w:lvlText w:val="•"/>
      <w:rPr>
        <w:color w:val="3370ff"/>
      </w:rPr>
    </w:lvl>
  </w:abstractNum>
  <w:abstractNum w:abstractNumId="644636">
    <w:lvl>
      <w:numFmt w:val="bullet"/>
      <w:suff w:val="tab"/>
      <w:lvlText w:val="•"/>
      <w:rPr>
        <w:color w:val="3370ff"/>
      </w:rPr>
    </w:lvl>
  </w:abstractNum>
  <w:abstractNum w:abstractNumId="644637">
    <w:lvl>
      <w:numFmt w:val="bullet"/>
      <w:suff w:val="tab"/>
      <w:lvlText w:val="•"/>
      <w:rPr>
        <w:color w:val="3370ff"/>
      </w:rPr>
    </w:lvl>
  </w:abstractNum>
  <w:abstractNum w:abstractNumId="644638">
    <w:lvl>
      <w:numFmt w:val="bullet"/>
      <w:suff w:val="tab"/>
      <w:lvlText w:val="•"/>
      <w:rPr>
        <w:color w:val="3370ff"/>
      </w:rPr>
    </w:lvl>
  </w:abstractNum>
  <w:abstractNum w:abstractNumId="644639">
    <w:lvl>
      <w:numFmt w:val="bullet"/>
      <w:suff w:val="tab"/>
      <w:lvlText w:val="•"/>
      <w:rPr>
        <w:color w:val="3370ff"/>
      </w:rPr>
    </w:lvl>
  </w:abstractNum>
  <w:abstractNum w:abstractNumId="644640">
    <w:lvl>
      <w:numFmt w:val="bullet"/>
      <w:suff w:val="tab"/>
      <w:lvlText w:val="•"/>
      <w:rPr>
        <w:color w:val="3370ff"/>
      </w:rPr>
    </w:lvl>
  </w:abstractNum>
  <w:abstractNum w:abstractNumId="644641">
    <w:lvl>
      <w:numFmt w:val="bullet"/>
      <w:suff w:val="tab"/>
      <w:lvlText w:val="•"/>
      <w:rPr>
        <w:color w:val="3370ff"/>
      </w:rPr>
    </w:lvl>
  </w:abstractNum>
  <w:abstractNum w:abstractNumId="644642">
    <w:lvl>
      <w:numFmt w:val="bullet"/>
      <w:suff w:val="tab"/>
      <w:lvlText w:val="•"/>
      <w:rPr>
        <w:color w:val="3370ff"/>
      </w:rPr>
    </w:lvl>
  </w:abstractNum>
  <w:abstractNum w:abstractNumId="644643">
    <w:lvl>
      <w:start w:val="1"/>
      <w:numFmt w:val="decimal"/>
      <w:suff w:val="tab"/>
      <w:lvlText w:val="%1."/>
      <w:rPr>
        <w:color w:val="3370ff"/>
      </w:rPr>
    </w:lvl>
  </w:abstractNum>
  <w:abstractNum w:abstractNumId="644644">
    <w:lvl>
      <w:start w:val="2"/>
      <w:numFmt w:val="decimal"/>
      <w:suff w:val="tab"/>
      <w:lvlText w:val="%1."/>
      <w:rPr>
        <w:color w:val="3370ff"/>
      </w:rPr>
    </w:lvl>
  </w:abstractNum>
  <w:abstractNum w:abstractNumId="644645">
    <w:lvl>
      <w:start w:val="3"/>
      <w:numFmt w:val="decimal"/>
      <w:suff w:val="tab"/>
      <w:lvlText w:val="%1."/>
      <w:rPr>
        <w:color w:val="3370ff"/>
      </w:rPr>
    </w:lvl>
  </w:abstractNum>
  <w:abstractNum w:abstractNumId="644646">
    <w:lvl>
      <w:start w:val="1"/>
      <w:numFmt w:val="decimal"/>
      <w:suff w:val="tab"/>
      <w:lvlText w:val="%1."/>
      <w:rPr>
        <w:color w:val="3370ff"/>
      </w:rPr>
    </w:lvl>
  </w:abstractNum>
  <w:abstractNum w:abstractNumId="644647">
    <w:lvl>
      <w:numFmt w:val="bullet"/>
      <w:suff w:val="tab"/>
      <w:lvlText w:val="•"/>
      <w:rPr>
        <w:color w:val="3370ff"/>
      </w:rPr>
    </w:lvl>
  </w:abstractNum>
  <w:abstractNum w:abstractNumId="644648">
    <w:lvl>
      <w:numFmt w:val="bullet"/>
      <w:suff w:val="tab"/>
      <w:lvlText w:val="•"/>
      <w:rPr>
        <w:color w:val="3370ff"/>
      </w:rPr>
    </w:lvl>
  </w:abstractNum>
  <w:abstractNum w:abstractNumId="644649">
    <w:lvl>
      <w:numFmt w:val="bullet"/>
      <w:suff w:val="tab"/>
      <w:lvlText w:val="•"/>
      <w:rPr>
        <w:color w:val="3370ff"/>
      </w:rPr>
    </w:lvl>
  </w:abstractNum>
  <w:abstractNum w:abstractNumId="644650">
    <w:lvl>
      <w:numFmt w:val="bullet"/>
      <w:suff w:val="tab"/>
      <w:lvlText w:val="•"/>
      <w:rPr>
        <w:color w:val="3370ff"/>
      </w:rPr>
    </w:lvl>
  </w:abstractNum>
  <w:abstractNum w:abstractNumId="644651">
    <w:lvl>
      <w:numFmt w:val="bullet"/>
      <w:suff w:val="tab"/>
      <w:lvlText w:val="•"/>
      <w:rPr>
        <w:color w:val="3370ff"/>
      </w:rPr>
    </w:lvl>
  </w:abstractNum>
  <w:abstractNum w:abstractNumId="644652">
    <w:lvl>
      <w:numFmt w:val="bullet"/>
      <w:suff w:val="tab"/>
      <w:lvlText w:val="•"/>
      <w:rPr>
        <w:color w:val="3370ff"/>
      </w:rPr>
    </w:lvl>
  </w:abstractNum>
  <w:abstractNum w:abstractNumId="644653">
    <w:lvl>
      <w:start w:val="2"/>
      <w:numFmt w:val="decimal"/>
      <w:suff w:val="tab"/>
      <w:lvlText w:val="%1."/>
      <w:rPr>
        <w:color w:val="3370ff"/>
      </w:rPr>
    </w:lvl>
  </w:abstractNum>
  <w:abstractNum w:abstractNumId="644654">
    <w:lvl>
      <w:start w:val="3"/>
      <w:numFmt w:val="decimal"/>
      <w:suff w:val="tab"/>
      <w:lvlText w:val="%1."/>
      <w:rPr>
        <w:color w:val="3370ff"/>
      </w:rPr>
    </w:lvl>
  </w:abstractNum>
  <w:abstractNum w:abstractNumId="644655">
    <w:lvl>
      <w:numFmt w:val="bullet"/>
      <w:suff w:val="tab"/>
      <w:lvlText w:val="•"/>
      <w:rPr>
        <w:color w:val="3370ff"/>
      </w:rPr>
    </w:lvl>
  </w:abstractNum>
  <w:abstractNum w:abstractNumId="644656">
    <w:lvl>
      <w:numFmt w:val="bullet"/>
      <w:suff w:val="tab"/>
      <w:lvlText w:val="•"/>
      <w:rPr>
        <w:color w:val="3370ff"/>
      </w:rPr>
    </w:lvl>
  </w:abstractNum>
  <w:abstractNum w:abstractNumId="644657">
    <w:lvl>
      <w:numFmt w:val="bullet"/>
      <w:suff w:val="tab"/>
      <w:lvlText w:val="•"/>
      <w:rPr>
        <w:color w:val="3370ff"/>
      </w:rPr>
    </w:lvl>
  </w:abstractNum>
  <w:abstractNum w:abstractNumId="644658">
    <w:lvl>
      <w:numFmt w:val="bullet"/>
      <w:suff w:val="tab"/>
      <w:lvlText w:val="•"/>
      <w:rPr>
        <w:color w:val="3370ff"/>
      </w:rPr>
    </w:lvl>
  </w:abstractNum>
  <w:abstractNum w:abstractNumId="644659">
    <w:lvl>
      <w:numFmt w:val="bullet"/>
      <w:suff w:val="tab"/>
      <w:lvlText w:val="•"/>
      <w:rPr>
        <w:color w:val="3370ff"/>
      </w:rPr>
    </w:lvl>
  </w:abstractNum>
  <w:abstractNum w:abstractNumId="644660">
    <w:lvl>
      <w:numFmt w:val="bullet"/>
      <w:suff w:val="tab"/>
      <w:lvlText w:val="•"/>
      <w:rPr>
        <w:color w:val="3370ff"/>
      </w:rPr>
    </w:lvl>
  </w:abstractNum>
  <w:abstractNum w:abstractNumId="644661">
    <w:lvl>
      <w:numFmt w:val="bullet"/>
      <w:suff w:val="tab"/>
      <w:lvlText w:val="•"/>
      <w:rPr>
        <w:color w:val="3370ff"/>
      </w:rPr>
    </w:lvl>
  </w:abstractNum>
  <w:abstractNum w:abstractNumId="644662">
    <w:lvl>
      <w:numFmt w:val="bullet"/>
      <w:suff w:val="tab"/>
      <w:lvlText w:val="•"/>
      <w:rPr>
        <w:color w:val="3370ff"/>
      </w:rPr>
    </w:lvl>
  </w:abstractNum>
  <w:abstractNum w:abstractNumId="644663">
    <w:lvl>
      <w:numFmt w:val="bullet"/>
      <w:suff w:val="tab"/>
      <w:lvlText w:val="•"/>
      <w:rPr>
        <w:color w:val="3370ff"/>
      </w:rPr>
    </w:lvl>
  </w:abstractNum>
  <w:abstractNum w:abstractNumId="644664">
    <w:lvl>
      <w:start w:val="1"/>
      <w:numFmt w:val="decimal"/>
      <w:suff w:val="tab"/>
      <w:lvlText w:val="%1."/>
      <w:rPr>
        <w:color w:val="3370ff"/>
      </w:rPr>
    </w:lvl>
  </w:abstractNum>
  <w:abstractNum w:abstractNumId="644665">
    <w:lvl>
      <w:start w:val="2"/>
      <w:numFmt w:val="decimal"/>
      <w:suff w:val="tab"/>
      <w:lvlText w:val="%1."/>
      <w:rPr>
        <w:color w:val="3370ff"/>
      </w:rPr>
    </w:lvl>
  </w:abstractNum>
  <w:abstractNum w:abstractNumId="644666">
    <w:lvl>
      <w:start w:val="3"/>
      <w:numFmt w:val="decimal"/>
      <w:suff w:val="tab"/>
      <w:lvlText w:val="%1."/>
      <w:rPr>
        <w:color w:val="3370ff"/>
      </w:rPr>
    </w:lvl>
  </w:abstractNum>
  <w:abstractNum w:abstractNumId="644667">
    <w:lvl>
      <w:numFmt w:val="bullet"/>
      <w:suff w:val="tab"/>
      <w:lvlText w:val="•"/>
      <w:rPr>
        <w:color w:val="3370ff"/>
      </w:rPr>
    </w:lvl>
  </w:abstractNum>
  <w:abstractNum w:abstractNumId="644668">
    <w:lvl>
      <w:numFmt w:val="bullet"/>
      <w:suff w:val="tab"/>
      <w:lvlText w:val="•"/>
      <w:rPr>
        <w:color w:val="3370ff"/>
      </w:rPr>
    </w:lvl>
  </w:abstractNum>
  <w:abstractNum w:abstractNumId="644669">
    <w:lvl>
      <w:numFmt w:val="bullet"/>
      <w:suff w:val="tab"/>
      <w:lvlText w:val="•"/>
      <w:rPr>
        <w:color w:val="3370ff"/>
      </w:rPr>
    </w:lvl>
  </w:abstractNum>
  <w:abstractNum w:abstractNumId="644670">
    <w:lvl>
      <w:start w:val="4"/>
      <w:numFmt w:val="decimal"/>
      <w:suff w:val="tab"/>
      <w:lvlText w:val="%1."/>
      <w:rPr>
        <w:color w:val="3370ff"/>
      </w:rPr>
    </w:lvl>
  </w:abstractNum>
  <w:abstractNum w:abstractNumId="644671">
    <w:lvl>
      <w:numFmt w:val="bullet"/>
      <w:suff w:val="tab"/>
      <w:lvlText w:val="•"/>
      <w:rPr>
        <w:color w:val="3370ff"/>
      </w:rPr>
    </w:lvl>
  </w:abstractNum>
  <w:abstractNum w:abstractNumId="644672">
    <w:lvl>
      <w:numFmt w:val="bullet"/>
      <w:suff w:val="tab"/>
      <w:lvlText w:val="•"/>
      <w:rPr>
        <w:color w:val="3370ff"/>
      </w:rPr>
    </w:lvl>
  </w:abstractNum>
  <w:abstractNum w:abstractNumId="644673">
    <w:lvl>
      <w:numFmt w:val="bullet"/>
      <w:suff w:val="tab"/>
      <w:lvlText w:val="•"/>
      <w:rPr>
        <w:color w:val="3370ff"/>
      </w:rPr>
    </w:lvl>
  </w:abstractNum>
  <w:abstractNum w:abstractNumId="644674">
    <w:lvl>
      <w:numFmt w:val="bullet"/>
      <w:suff w:val="tab"/>
      <w:lvlText w:val="•"/>
      <w:rPr>
        <w:color w:val="3370ff"/>
      </w:rPr>
    </w:lvl>
  </w:abstractNum>
  <w:abstractNum w:abstractNumId="644675">
    <w:lvl>
      <w:numFmt w:val="bullet"/>
      <w:suff w:val="tab"/>
      <w:lvlText w:val="•"/>
      <w:rPr>
        <w:color w:val="3370ff"/>
      </w:rPr>
    </w:lvl>
  </w:abstractNum>
  <w:abstractNum w:abstractNumId="644676">
    <w:lvl>
      <w:numFmt w:val="bullet"/>
      <w:suff w:val="tab"/>
      <w:lvlText w:val="•"/>
      <w:rPr>
        <w:color w:val="3370ff"/>
      </w:rPr>
    </w:lvl>
  </w:abstractNum>
  <w:abstractNum w:abstractNumId="644677">
    <w:lvl>
      <w:start w:val="5"/>
      <w:numFmt w:val="decimal"/>
      <w:suff w:val="tab"/>
      <w:lvlText w:val="%1."/>
      <w:rPr>
        <w:color w:val="3370ff"/>
      </w:rPr>
    </w:lvl>
  </w:abstractNum>
  <w:abstractNum w:abstractNumId="644678">
    <w:lvl>
      <w:start w:val="6"/>
      <w:numFmt w:val="decimal"/>
      <w:suff w:val="tab"/>
      <w:lvlText w:val="%1."/>
      <w:rPr>
        <w:color w:val="3370ff"/>
      </w:rPr>
    </w:lvl>
  </w:abstractNum>
  <w:abstractNum w:abstractNumId="644679">
    <w:lvl>
      <w:numFmt w:val="bullet"/>
      <w:suff w:val="tab"/>
      <w:lvlText w:val="•"/>
      <w:rPr>
        <w:color w:val="3370ff"/>
      </w:rPr>
    </w:lvl>
  </w:abstractNum>
  <w:abstractNum w:abstractNumId="644680">
    <w:lvl>
      <w:numFmt w:val="bullet"/>
      <w:suff w:val="tab"/>
      <w:lvlText w:val="•"/>
      <w:rPr>
        <w:color w:val="3370ff"/>
      </w:rPr>
    </w:lvl>
  </w:abstractNum>
  <w:abstractNum w:abstractNumId="644681">
    <w:lvl>
      <w:numFmt w:val="bullet"/>
      <w:suff w:val="tab"/>
      <w:lvlText w:val="•"/>
      <w:rPr>
        <w:color w:val="3370ff"/>
      </w:rPr>
    </w:lvl>
  </w:abstractNum>
  <w:abstractNum w:abstractNumId="644682">
    <w:lvl>
      <w:numFmt w:val="bullet"/>
      <w:suff w:val="tab"/>
      <w:lvlText w:val="•"/>
      <w:rPr>
        <w:color w:val="3370ff"/>
      </w:rPr>
    </w:lvl>
  </w:abstractNum>
  <w:abstractNum w:abstractNumId="644683">
    <w:lvl>
      <w:numFmt w:val="bullet"/>
      <w:suff w:val="tab"/>
      <w:lvlText w:val="•"/>
      <w:rPr>
        <w:color w:val="3370ff"/>
      </w:rPr>
    </w:lvl>
  </w:abstractNum>
  <w:abstractNum w:abstractNumId="644684">
    <w:lvl>
      <w:numFmt w:val="bullet"/>
      <w:suff w:val="tab"/>
      <w:lvlText w:val="•"/>
      <w:rPr>
        <w:color w:val="3370ff"/>
      </w:rPr>
    </w:lvl>
  </w:abstractNum>
  <w:abstractNum w:abstractNumId="644685">
    <w:lvl>
      <w:numFmt w:val="bullet"/>
      <w:suff w:val="tab"/>
      <w:lvlText w:val="•"/>
      <w:rPr>
        <w:color w:val="3370ff"/>
      </w:rPr>
    </w:lvl>
  </w:abstractNum>
  <w:abstractNum w:abstractNumId="644686">
    <w:lvl>
      <w:numFmt w:val="bullet"/>
      <w:suff w:val="tab"/>
      <w:lvlText w:val="•"/>
      <w:rPr>
        <w:color w:val="3370ff"/>
      </w:rPr>
    </w:lvl>
  </w:abstractNum>
  <w:abstractNum w:abstractNumId="644687">
    <w:lvl>
      <w:numFmt w:val="bullet"/>
      <w:suff w:val="tab"/>
      <w:lvlText w:val="•"/>
      <w:rPr>
        <w:color w:val="3370ff"/>
      </w:rPr>
    </w:lvl>
  </w:abstractNum>
  <w:abstractNum w:abstractNumId="644688">
    <w:lvl>
      <w:numFmt w:val="bullet"/>
      <w:suff w:val="tab"/>
      <w:lvlText w:val="•"/>
      <w:rPr>
        <w:color w:val="3370ff"/>
      </w:rPr>
    </w:lvl>
  </w:abstractNum>
  <w:abstractNum w:abstractNumId="644689">
    <w:lvl>
      <w:numFmt w:val="bullet"/>
      <w:suff w:val="tab"/>
      <w:lvlText w:val="•"/>
      <w:rPr>
        <w:color w:val="3370ff"/>
      </w:rPr>
    </w:lvl>
  </w:abstractNum>
  <w:abstractNum w:abstractNumId="644690">
    <w:lvl>
      <w:numFmt w:val="bullet"/>
      <w:suff w:val="tab"/>
      <w:lvlText w:val="•"/>
      <w:rPr>
        <w:color w:val="3370ff"/>
      </w:rPr>
    </w:lvl>
  </w:abstractNum>
  <w:abstractNum w:abstractNumId="644691">
    <w:lvl>
      <w:numFmt w:val="bullet"/>
      <w:suff w:val="tab"/>
      <w:lvlText w:val="•"/>
      <w:rPr>
        <w:color w:val="3370ff"/>
      </w:rPr>
    </w:lvl>
  </w:abstractNum>
  <w:abstractNum w:abstractNumId="644692">
    <w:lvl>
      <w:numFmt w:val="bullet"/>
      <w:suff w:val="tab"/>
      <w:lvlText w:val="•"/>
      <w:rPr>
        <w:color w:val="3370ff"/>
      </w:rPr>
    </w:lvl>
  </w:abstractNum>
  <w:abstractNum w:abstractNumId="644693">
    <w:lvl>
      <w:numFmt w:val="bullet"/>
      <w:suff w:val="tab"/>
      <w:lvlText w:val="•"/>
      <w:rPr>
        <w:color w:val="3370ff"/>
      </w:rPr>
    </w:lvl>
  </w:abstractNum>
  <w:abstractNum w:abstractNumId="644694">
    <w:lvl>
      <w:numFmt w:val="bullet"/>
      <w:suff w:val="tab"/>
      <w:lvlText w:val="•"/>
      <w:rPr>
        <w:color w:val="3370ff"/>
      </w:rPr>
    </w:lvl>
  </w:abstractNum>
  <w:abstractNum w:abstractNumId="644695">
    <w:lvl>
      <w:numFmt w:val="bullet"/>
      <w:suff w:val="tab"/>
      <w:lvlText w:val="•"/>
      <w:rPr>
        <w:color w:val="3370ff"/>
      </w:rPr>
    </w:lvl>
  </w:abstractNum>
  <w:abstractNum w:abstractNumId="644696">
    <w:lvl>
      <w:numFmt w:val="bullet"/>
      <w:suff w:val="tab"/>
      <w:lvlText w:val="•"/>
      <w:rPr>
        <w:color w:val="3370ff"/>
      </w:rPr>
    </w:lvl>
  </w:abstractNum>
  <w:abstractNum w:abstractNumId="644697">
    <w:lvl>
      <w:numFmt w:val="bullet"/>
      <w:suff w:val="tab"/>
      <w:lvlText w:val="•"/>
      <w:rPr>
        <w:color w:val="3370ff"/>
      </w:rPr>
    </w:lvl>
  </w:abstractNum>
  <w:abstractNum w:abstractNumId="644698">
    <w:lvl>
      <w:numFmt w:val="bullet"/>
      <w:suff w:val="tab"/>
      <w:lvlText w:val="•"/>
      <w:rPr>
        <w:color w:val="3370ff"/>
      </w:rPr>
    </w:lvl>
  </w:abstractNum>
  <w:abstractNum w:abstractNumId="644699">
    <w:lvl>
      <w:numFmt w:val="bullet"/>
      <w:suff w:val="tab"/>
      <w:lvlText w:val="•"/>
      <w:rPr>
        <w:color w:val="3370ff"/>
      </w:rPr>
    </w:lvl>
  </w:abstractNum>
  <w:abstractNum w:abstractNumId="644700">
    <w:lvl>
      <w:start w:val="1"/>
      <w:numFmt w:val="decimal"/>
      <w:suff w:val="tab"/>
      <w:lvlText w:val="%1."/>
      <w:rPr>
        <w:color w:val="3370ff"/>
      </w:rPr>
    </w:lvl>
  </w:abstractNum>
  <w:abstractNum w:abstractNumId="644701">
    <w:lvl>
      <w:start w:val="2"/>
      <w:numFmt w:val="decimal"/>
      <w:suff w:val="tab"/>
      <w:lvlText w:val="%1."/>
      <w:rPr>
        <w:color w:val="3370ff"/>
      </w:rPr>
    </w:lvl>
  </w:abstractNum>
  <w:abstractNum w:abstractNumId="644702">
    <w:lvl>
      <w:numFmt w:val="bullet"/>
      <w:suff w:val="tab"/>
      <w:lvlText w:val="•"/>
      <w:rPr>
        <w:color w:val="3370ff"/>
      </w:rPr>
    </w:lvl>
  </w:abstractNum>
  <w:abstractNum w:abstractNumId="644703">
    <w:lvl>
      <w:start w:val="1"/>
      <w:numFmt w:val="decimal"/>
      <w:suff w:val="tab"/>
      <w:lvlText w:val="%1."/>
      <w:rPr>
        <w:color w:val="3370ff"/>
      </w:rPr>
    </w:lvl>
  </w:abstractNum>
  <w:abstractNum w:abstractNumId="644704">
    <w:lvl>
      <w:start w:val="2"/>
      <w:numFmt w:val="decimal"/>
      <w:suff w:val="tab"/>
      <w:lvlText w:val="%1."/>
      <w:rPr>
        <w:color w:val="3370ff"/>
      </w:rPr>
    </w:lvl>
  </w:abstractNum>
  <w:abstractNum w:abstractNumId="644705">
    <w:lvl>
      <w:start w:val="3"/>
      <w:numFmt w:val="decimal"/>
      <w:suff w:val="tab"/>
      <w:lvlText w:val="%1."/>
      <w:rPr>
        <w:color w:val="3370ff"/>
      </w:rPr>
    </w:lvl>
  </w:abstractNum>
  <w:abstractNum w:abstractNumId="644706">
    <w:lvl>
      <w:start w:val="4"/>
      <w:numFmt w:val="decimal"/>
      <w:suff w:val="tab"/>
      <w:lvlText w:val="%1."/>
      <w:rPr>
        <w:color w:val="3370ff"/>
      </w:rPr>
    </w:lvl>
  </w:abstractNum>
  <w:abstractNum w:abstractNumId="644707">
    <w:lvl>
      <w:numFmt w:val="bullet"/>
      <w:suff w:val="tab"/>
      <w:lvlText w:val="•"/>
      <w:rPr>
        <w:color w:val="3370ff"/>
      </w:rPr>
    </w:lvl>
  </w:abstractNum>
  <w:abstractNum w:abstractNumId="644708">
    <w:lvl>
      <w:numFmt w:val="bullet"/>
      <w:suff w:val="tab"/>
      <w:lvlText w:val="•"/>
      <w:rPr>
        <w:color w:val="3370ff"/>
      </w:rPr>
    </w:lvl>
  </w:abstractNum>
  <w:abstractNum w:abstractNumId="644709">
    <w:lvl>
      <w:numFmt w:val="bullet"/>
      <w:suff w:val="tab"/>
      <w:lvlText w:val="•"/>
      <w:rPr>
        <w:color w:val="3370ff"/>
      </w:rPr>
    </w:lvl>
  </w:abstractNum>
  <w:num w:numId="1">
    <w:abstractNumId w:val="644597"/>
  </w:num>
  <w:num w:numId="2">
    <w:abstractNumId w:val="644598"/>
  </w:num>
  <w:num w:numId="3">
    <w:abstractNumId w:val="644599"/>
  </w:num>
  <w:num w:numId="4">
    <w:abstractNumId w:val="644600"/>
  </w:num>
  <w:num w:numId="5">
    <w:abstractNumId w:val="644601"/>
  </w:num>
  <w:num w:numId="6">
    <w:abstractNumId w:val="644602"/>
  </w:num>
  <w:num w:numId="7">
    <w:abstractNumId w:val="644603"/>
  </w:num>
  <w:num w:numId="8">
    <w:abstractNumId w:val="644604"/>
  </w:num>
  <w:num w:numId="9">
    <w:abstractNumId w:val="644605"/>
  </w:num>
  <w:num w:numId="10">
    <w:abstractNumId w:val="644606"/>
  </w:num>
  <w:num w:numId="11">
    <w:abstractNumId w:val="644607"/>
  </w:num>
  <w:num w:numId="12">
    <w:abstractNumId w:val="644608"/>
  </w:num>
  <w:num w:numId="13">
    <w:abstractNumId w:val="644609"/>
  </w:num>
  <w:num w:numId="14">
    <w:abstractNumId w:val="644610"/>
  </w:num>
  <w:num w:numId="15">
    <w:abstractNumId w:val="644611"/>
  </w:num>
  <w:num w:numId="16">
    <w:abstractNumId w:val="644612"/>
  </w:num>
  <w:num w:numId="17">
    <w:abstractNumId w:val="644613"/>
  </w:num>
  <w:num w:numId="18">
    <w:abstractNumId w:val="644614"/>
  </w:num>
  <w:num w:numId="19">
    <w:abstractNumId w:val="644615"/>
  </w:num>
  <w:num w:numId="20">
    <w:abstractNumId w:val="644616"/>
  </w:num>
  <w:num w:numId="21">
    <w:abstractNumId w:val="644617"/>
  </w:num>
  <w:num w:numId="22">
    <w:abstractNumId w:val="644618"/>
  </w:num>
  <w:num w:numId="23">
    <w:abstractNumId w:val="644619"/>
  </w:num>
  <w:num w:numId="24">
    <w:abstractNumId w:val="644620"/>
  </w:num>
  <w:num w:numId="25">
    <w:abstractNumId w:val="644621"/>
  </w:num>
  <w:num w:numId="26">
    <w:abstractNumId w:val="644622"/>
  </w:num>
  <w:num w:numId="27">
    <w:abstractNumId w:val="644623"/>
  </w:num>
  <w:num w:numId="28">
    <w:abstractNumId w:val="644624"/>
  </w:num>
  <w:num w:numId="29">
    <w:abstractNumId w:val="644625"/>
  </w:num>
  <w:num w:numId="30">
    <w:abstractNumId w:val="644626"/>
  </w:num>
  <w:num w:numId="31">
    <w:abstractNumId w:val="644627"/>
  </w:num>
  <w:num w:numId="32">
    <w:abstractNumId w:val="644628"/>
  </w:num>
  <w:num w:numId="33">
    <w:abstractNumId w:val="644629"/>
  </w:num>
  <w:num w:numId="34">
    <w:abstractNumId w:val="644630"/>
  </w:num>
  <w:num w:numId="35">
    <w:abstractNumId w:val="644631"/>
  </w:num>
  <w:num w:numId="36">
    <w:abstractNumId w:val="644632"/>
  </w:num>
  <w:num w:numId="37">
    <w:abstractNumId w:val="644633"/>
  </w:num>
  <w:num w:numId="38">
    <w:abstractNumId w:val="644634"/>
  </w:num>
  <w:num w:numId="39">
    <w:abstractNumId w:val="644635"/>
  </w:num>
  <w:num w:numId="40">
    <w:abstractNumId w:val="644636"/>
  </w:num>
  <w:num w:numId="41">
    <w:abstractNumId w:val="644637"/>
  </w:num>
  <w:num w:numId="42">
    <w:abstractNumId w:val="644638"/>
  </w:num>
  <w:num w:numId="43">
    <w:abstractNumId w:val="644639"/>
  </w:num>
  <w:num w:numId="44">
    <w:abstractNumId w:val="644640"/>
  </w:num>
  <w:num w:numId="45">
    <w:abstractNumId w:val="644641"/>
  </w:num>
  <w:num w:numId="46">
    <w:abstractNumId w:val="644642"/>
  </w:num>
  <w:num w:numId="47">
    <w:abstractNumId w:val="644643"/>
  </w:num>
  <w:num w:numId="48">
    <w:abstractNumId w:val="644644"/>
  </w:num>
  <w:num w:numId="49">
    <w:abstractNumId w:val="644645"/>
  </w:num>
  <w:num w:numId="50">
    <w:abstractNumId w:val="644646"/>
  </w:num>
  <w:num w:numId="51">
    <w:abstractNumId w:val="644647"/>
  </w:num>
  <w:num w:numId="52">
    <w:abstractNumId w:val="644648"/>
  </w:num>
  <w:num w:numId="53">
    <w:abstractNumId w:val="644649"/>
  </w:num>
  <w:num w:numId="54">
    <w:abstractNumId w:val="644650"/>
  </w:num>
  <w:num w:numId="55">
    <w:abstractNumId w:val="644651"/>
  </w:num>
  <w:num w:numId="56">
    <w:abstractNumId w:val="644652"/>
  </w:num>
  <w:num w:numId="57">
    <w:abstractNumId w:val="644653"/>
  </w:num>
  <w:num w:numId="58">
    <w:abstractNumId w:val="644654"/>
  </w:num>
  <w:num w:numId="59">
    <w:abstractNumId w:val="644655"/>
  </w:num>
  <w:num w:numId="60">
    <w:abstractNumId w:val="644656"/>
  </w:num>
  <w:num w:numId="61">
    <w:abstractNumId w:val="644657"/>
  </w:num>
  <w:num w:numId="62">
    <w:abstractNumId w:val="644658"/>
  </w:num>
  <w:num w:numId="63">
    <w:abstractNumId w:val="644659"/>
  </w:num>
  <w:num w:numId="64">
    <w:abstractNumId w:val="644660"/>
  </w:num>
  <w:num w:numId="65">
    <w:abstractNumId w:val="644661"/>
  </w:num>
  <w:num w:numId="66">
    <w:abstractNumId w:val="644662"/>
  </w:num>
  <w:num w:numId="67">
    <w:abstractNumId w:val="644663"/>
  </w:num>
  <w:num w:numId="68">
    <w:abstractNumId w:val="644664"/>
  </w:num>
  <w:num w:numId="69">
    <w:abstractNumId w:val="644665"/>
  </w:num>
  <w:num w:numId="70">
    <w:abstractNumId w:val="644666"/>
  </w:num>
  <w:num w:numId="71">
    <w:abstractNumId w:val="644667"/>
  </w:num>
  <w:num w:numId="72">
    <w:abstractNumId w:val="644668"/>
  </w:num>
  <w:num w:numId="73">
    <w:abstractNumId w:val="644669"/>
  </w:num>
  <w:num w:numId="74">
    <w:abstractNumId w:val="644670"/>
  </w:num>
  <w:num w:numId="75">
    <w:abstractNumId w:val="644671"/>
  </w:num>
  <w:num w:numId="76">
    <w:abstractNumId w:val="644672"/>
  </w:num>
  <w:num w:numId="77">
    <w:abstractNumId w:val="644673"/>
  </w:num>
  <w:num w:numId="78">
    <w:abstractNumId w:val="644674"/>
  </w:num>
  <w:num w:numId="79">
    <w:abstractNumId w:val="644675"/>
  </w:num>
  <w:num w:numId="80">
    <w:abstractNumId w:val="644676"/>
  </w:num>
  <w:num w:numId="81">
    <w:abstractNumId w:val="644677"/>
  </w:num>
  <w:num w:numId="82">
    <w:abstractNumId w:val="644678"/>
  </w:num>
  <w:num w:numId="83">
    <w:abstractNumId w:val="644679"/>
  </w:num>
  <w:num w:numId="84">
    <w:abstractNumId w:val="644680"/>
  </w:num>
  <w:num w:numId="85">
    <w:abstractNumId w:val="644681"/>
  </w:num>
  <w:num w:numId="86">
    <w:abstractNumId w:val="644682"/>
  </w:num>
  <w:num w:numId="87">
    <w:abstractNumId w:val="644683"/>
  </w:num>
  <w:num w:numId="88">
    <w:abstractNumId w:val="644684"/>
  </w:num>
  <w:num w:numId="89">
    <w:abstractNumId w:val="644685"/>
  </w:num>
  <w:num w:numId="90">
    <w:abstractNumId w:val="644686"/>
  </w:num>
  <w:num w:numId="91">
    <w:abstractNumId w:val="644687"/>
  </w:num>
  <w:num w:numId="92">
    <w:abstractNumId w:val="644688"/>
  </w:num>
  <w:num w:numId="93">
    <w:abstractNumId w:val="644689"/>
  </w:num>
  <w:num w:numId="94">
    <w:abstractNumId w:val="644690"/>
  </w:num>
  <w:num w:numId="95">
    <w:abstractNumId w:val="644691"/>
  </w:num>
  <w:num w:numId="96">
    <w:abstractNumId w:val="644692"/>
  </w:num>
  <w:num w:numId="97">
    <w:abstractNumId w:val="644693"/>
  </w:num>
  <w:num w:numId="98">
    <w:abstractNumId w:val="644694"/>
  </w:num>
  <w:num w:numId="99">
    <w:abstractNumId w:val="644695"/>
  </w:num>
  <w:num w:numId="100">
    <w:abstractNumId w:val="644696"/>
  </w:num>
  <w:num w:numId="101">
    <w:abstractNumId w:val="644697"/>
  </w:num>
  <w:num w:numId="102">
    <w:abstractNumId w:val="644698"/>
  </w:num>
  <w:num w:numId="103">
    <w:abstractNumId w:val="644699"/>
  </w:num>
  <w:num w:numId="104">
    <w:abstractNumId w:val="644700"/>
  </w:num>
  <w:num w:numId="105">
    <w:abstractNumId w:val="644701"/>
  </w:num>
  <w:num w:numId="106">
    <w:abstractNumId w:val="644702"/>
  </w:num>
  <w:num w:numId="107">
    <w:abstractNumId w:val="644703"/>
  </w:num>
  <w:num w:numId="108">
    <w:abstractNumId w:val="644704"/>
  </w:num>
  <w:num w:numId="109">
    <w:abstractNumId w:val="644705"/>
  </w:num>
  <w:num w:numId="110">
    <w:abstractNumId w:val="644706"/>
  </w:num>
  <w:num w:numId="111">
    <w:abstractNumId w:val="644707"/>
  </w:num>
  <w:num w:numId="112">
    <w:abstractNumId w:val="644708"/>
  </w:num>
  <w:num w:numId="113">
    <w:abstractNumId w:val="6447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2025-12-06T09:20:56Z</dcterms:created>
  <dc:creator>Apache POI</dc:creator>
</cp:coreProperties>
</file>