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90954" w14:textId="77777777" w:rsidR="00537137" w:rsidRPr="0097171D" w:rsidRDefault="0097171D" w:rsidP="0097171D">
      <w:pPr>
        <w:spacing w:line="14" w:lineRule="auto"/>
        <w:rPr>
          <w:rFonts w:ascii="Tahoma" w:eastAsia="微软雅黑" w:hAnsi="Tahoma" w:cs="Tahoma"/>
          <w:b/>
          <w:bCs/>
          <w:sz w:val="24"/>
          <w:szCs w:val="24"/>
        </w:rPr>
      </w:pPr>
      <w:r w:rsidRPr="0097171D">
        <w:rPr>
          <w:rFonts w:ascii="Tahoma" w:eastAsia="微软雅黑" w:hAnsi="Tahoma" w:cs="Tahoma"/>
          <w:b/>
          <w:bCs/>
          <w:color w:val="0E101A"/>
          <w:sz w:val="24"/>
          <w:szCs w:val="24"/>
        </w:rPr>
        <w:t>Introduction</w:t>
      </w:r>
    </w:p>
    <w:p w14:paraId="16779789" w14:textId="77777777" w:rsidR="00537137" w:rsidRPr="0097171D" w:rsidRDefault="0097171D" w:rsidP="0097171D">
      <w:pPr>
        <w:spacing w:line="14" w:lineRule="auto"/>
        <w:rPr>
          <w:rFonts w:ascii="Tahoma" w:eastAsia="微软雅黑" w:hAnsi="Tahoma" w:cs="Tahoma"/>
          <w:sz w:val="24"/>
          <w:szCs w:val="24"/>
        </w:rPr>
      </w:pPr>
      <w:r w:rsidRPr="0097171D">
        <w:rPr>
          <w:rFonts w:ascii="Tahoma" w:eastAsia="微软雅黑" w:hAnsi="Tahoma" w:cs="Tahoma"/>
          <w:color w:val="0E101A"/>
          <w:sz w:val="24"/>
          <w:szCs w:val="24"/>
        </w:rPr>
        <w:t>Data protection and related ethical concerns have become a major topic for the implementation of human subject-related projects many of the regulations have been applied for protecting the data right of human beings, such as the General Data Protection Regulation (GPDR) [1]. According to GPDR, seven data protection principles have been emphasized, which are Lawfulness, fairness and transparency, Purpose limitation, Data minimization, Accuracy, Storage limitation, Integrity and confidentiality (security), Accountability. This statement will demonstrate how the Sync Study project conforms with these seven criteria.</w:t>
      </w:r>
    </w:p>
    <w:p w14:paraId="04FD2935" w14:textId="77777777" w:rsidR="00537137" w:rsidRPr="0097171D" w:rsidRDefault="0097171D" w:rsidP="0097171D">
      <w:pPr>
        <w:spacing w:line="14" w:lineRule="auto"/>
        <w:rPr>
          <w:rFonts w:ascii="Tahoma" w:eastAsia="微软雅黑" w:hAnsi="Tahoma" w:cs="Tahoma"/>
          <w:b/>
          <w:bCs/>
          <w:sz w:val="24"/>
          <w:szCs w:val="24"/>
        </w:rPr>
      </w:pPr>
      <w:r w:rsidRPr="0097171D">
        <w:rPr>
          <w:rFonts w:ascii="Tahoma" w:eastAsia="微软雅黑" w:hAnsi="Tahoma" w:cs="Tahoma"/>
          <w:b/>
          <w:bCs/>
          <w:color w:val="0E101A"/>
          <w:sz w:val="24"/>
          <w:szCs w:val="24"/>
        </w:rPr>
        <w:t>Lawfulness, fairness, and transparency</w:t>
      </w:r>
    </w:p>
    <w:p w14:paraId="7F227FD6" w14:textId="77777777" w:rsidR="00537137" w:rsidRPr="0097171D" w:rsidRDefault="0097171D" w:rsidP="0097171D">
      <w:pPr>
        <w:spacing w:line="14" w:lineRule="auto"/>
        <w:rPr>
          <w:rFonts w:ascii="Tahoma" w:eastAsia="微软雅黑" w:hAnsi="Tahoma" w:cs="Tahoma"/>
          <w:sz w:val="24"/>
          <w:szCs w:val="24"/>
        </w:rPr>
      </w:pPr>
      <w:r w:rsidRPr="0097171D">
        <w:rPr>
          <w:rFonts w:ascii="Tahoma" w:eastAsia="微软雅黑" w:hAnsi="Tahoma" w:cs="Tahoma"/>
          <w:color w:val="0E101A"/>
          <w:sz w:val="24"/>
          <w:szCs w:val="24"/>
        </w:rPr>
        <w:t>Sync Study will firstly introduce the user consent form in showing the user how the data is collected, stored, and distributed in the full cycle, using both the Chinese and English versions in maintaining the lawfulness, fairness, and transparency.</w:t>
      </w:r>
    </w:p>
    <w:p w14:paraId="698F2DAD" w14:textId="77777777" w:rsidR="00537137" w:rsidRPr="0097171D" w:rsidRDefault="0097171D" w:rsidP="0097171D">
      <w:pPr>
        <w:spacing w:line="14" w:lineRule="auto"/>
        <w:rPr>
          <w:rFonts w:ascii="Tahoma" w:eastAsia="微软雅黑" w:hAnsi="Tahoma" w:cs="Tahoma"/>
          <w:b/>
          <w:bCs/>
          <w:sz w:val="24"/>
          <w:szCs w:val="24"/>
        </w:rPr>
      </w:pPr>
      <w:r w:rsidRPr="0097171D">
        <w:rPr>
          <w:rFonts w:ascii="Tahoma" w:eastAsia="微软雅黑" w:hAnsi="Tahoma" w:cs="Tahoma"/>
          <w:b/>
          <w:bCs/>
          <w:color w:val="0E101A"/>
          <w:sz w:val="24"/>
          <w:szCs w:val="24"/>
        </w:rPr>
        <w:t>Purpose limitation</w:t>
      </w:r>
    </w:p>
    <w:p w14:paraId="34D82648" w14:textId="3CEA877A" w:rsidR="00537137" w:rsidRPr="0097171D" w:rsidRDefault="0097171D" w:rsidP="0097171D">
      <w:pPr>
        <w:spacing w:line="14" w:lineRule="auto"/>
        <w:rPr>
          <w:rFonts w:ascii="Tahoma" w:eastAsia="微软雅黑" w:hAnsi="Tahoma" w:cs="Tahoma"/>
          <w:sz w:val="24"/>
          <w:szCs w:val="24"/>
        </w:rPr>
      </w:pPr>
      <w:r w:rsidRPr="0097171D">
        <w:rPr>
          <w:rFonts w:ascii="Tahoma" w:eastAsia="微软雅黑" w:hAnsi="Tahoma" w:cs="Tahoma"/>
          <w:color w:val="0E101A"/>
          <w:sz w:val="24"/>
          <w:szCs w:val="24"/>
        </w:rPr>
        <w:t>Sync Study is determined to helping the students build their own development ability from their major. Sync Study is providing a guide through this environment full of uncertainty, ambiguity, complexity, and changeability (UACC) [2]. </w:t>
      </w:r>
    </w:p>
    <w:p w14:paraId="6341693A" w14:textId="77777777" w:rsidR="00537137" w:rsidRPr="0097171D" w:rsidRDefault="0097171D" w:rsidP="0097171D">
      <w:pPr>
        <w:spacing w:line="14" w:lineRule="auto"/>
        <w:rPr>
          <w:rFonts w:ascii="Tahoma" w:eastAsia="微软雅黑" w:hAnsi="Tahoma" w:cs="Tahoma"/>
          <w:b/>
          <w:bCs/>
          <w:sz w:val="24"/>
          <w:szCs w:val="24"/>
        </w:rPr>
      </w:pPr>
      <w:r w:rsidRPr="0097171D">
        <w:rPr>
          <w:rFonts w:ascii="Tahoma" w:eastAsia="微软雅黑" w:hAnsi="Tahoma" w:cs="Tahoma"/>
          <w:b/>
          <w:bCs/>
          <w:color w:val="0E101A"/>
          <w:sz w:val="24"/>
          <w:szCs w:val="24"/>
        </w:rPr>
        <w:t>Data minimization</w:t>
      </w:r>
    </w:p>
    <w:p w14:paraId="5F6EC470" w14:textId="5EDE0A67" w:rsidR="00537137" w:rsidRPr="0097171D" w:rsidRDefault="0097171D" w:rsidP="0097171D">
      <w:pPr>
        <w:spacing w:line="14" w:lineRule="auto"/>
        <w:rPr>
          <w:rFonts w:ascii="Tahoma" w:eastAsia="微软雅黑" w:hAnsi="Tahoma" w:cs="Tahoma"/>
          <w:sz w:val="24"/>
          <w:szCs w:val="24"/>
        </w:rPr>
      </w:pPr>
      <w:r w:rsidRPr="0097171D">
        <w:rPr>
          <w:rFonts w:ascii="Tahoma" w:eastAsia="微软雅黑" w:hAnsi="Tahoma" w:cs="Tahoma"/>
          <w:color w:val="0E101A"/>
          <w:sz w:val="24"/>
          <w:szCs w:val="24"/>
        </w:rPr>
        <w:t>Sync Study will onl</w:t>
      </w:r>
      <w:r w:rsidR="00384545">
        <w:rPr>
          <w:rFonts w:ascii="Tahoma" w:eastAsia="微软雅黑" w:hAnsi="Tahoma" w:cs="Tahoma"/>
          <w:color w:val="0E101A"/>
          <w:sz w:val="24"/>
          <w:szCs w:val="24"/>
        </w:rPr>
        <w:t xml:space="preserve">y </w:t>
      </w:r>
      <w:r w:rsidRPr="0097171D">
        <w:rPr>
          <w:rFonts w:ascii="Tahoma" w:eastAsia="微软雅黑" w:hAnsi="Tahoma" w:cs="Tahoma"/>
          <w:color w:val="0E101A"/>
          <w:sz w:val="24"/>
          <w:szCs w:val="24"/>
        </w:rPr>
        <w:t xml:space="preserve">collect </w:t>
      </w:r>
      <w:r w:rsidR="00384545">
        <w:rPr>
          <w:rFonts w:ascii="Tahoma" w:eastAsia="微软雅黑" w:hAnsi="Tahoma" w:cs="Tahoma"/>
          <w:color w:val="0E101A"/>
          <w:sz w:val="24"/>
          <w:szCs w:val="24"/>
        </w:rPr>
        <w:t>career</w:t>
      </w:r>
      <w:r w:rsidRPr="0097171D">
        <w:rPr>
          <w:rFonts w:ascii="Tahoma" w:eastAsia="微软雅黑" w:hAnsi="Tahoma" w:cs="Tahoma"/>
          <w:color w:val="0E101A"/>
          <w:sz w:val="24"/>
          <w:szCs w:val="24"/>
        </w:rPr>
        <w:t xml:space="preserve"> evaluation dimension index</w:t>
      </w:r>
      <w:r w:rsidR="00384545">
        <w:rPr>
          <w:rFonts w:ascii="Tahoma" w:eastAsia="微软雅黑" w:hAnsi="Tahoma" w:cs="Tahoma"/>
          <w:color w:val="0E101A"/>
          <w:sz w:val="24"/>
          <w:szCs w:val="24"/>
        </w:rPr>
        <w:t xml:space="preserve"> </w:t>
      </w:r>
      <w:r w:rsidRPr="0097171D">
        <w:rPr>
          <w:rFonts w:ascii="Tahoma" w:eastAsia="微软雅黑" w:hAnsi="Tahoma" w:cs="Tahoma"/>
          <w:color w:val="0E101A"/>
          <w:sz w:val="24"/>
          <w:szCs w:val="24"/>
        </w:rPr>
        <w:t>(say, 4 out of 10)</w:t>
      </w:r>
      <w:r w:rsidR="00384545">
        <w:rPr>
          <w:rFonts w:ascii="Tahoma" w:eastAsia="微软雅黑" w:hAnsi="Tahoma" w:cs="Tahoma"/>
          <w:color w:val="0E101A"/>
          <w:sz w:val="24"/>
          <w:szCs w:val="24"/>
        </w:rPr>
        <w:t>, and will apply d</w:t>
      </w:r>
      <w:r w:rsidR="00384545" w:rsidRPr="00384545">
        <w:rPr>
          <w:rFonts w:ascii="Tahoma" w:eastAsia="微软雅黑" w:hAnsi="Tahoma" w:cs="Tahoma"/>
          <w:color w:val="0E101A"/>
          <w:sz w:val="24"/>
          <w:szCs w:val="24"/>
        </w:rPr>
        <w:t>esensitization</w:t>
      </w:r>
      <w:r w:rsidR="00384545">
        <w:rPr>
          <w:rFonts w:ascii="Tahoma" w:eastAsia="微软雅黑" w:hAnsi="Tahoma" w:cs="Tahoma"/>
          <w:color w:val="0E101A"/>
          <w:sz w:val="24"/>
          <w:szCs w:val="24"/>
        </w:rPr>
        <w:t>, eliminating all personal information throughout</w:t>
      </w:r>
      <w:r w:rsidR="00384545" w:rsidRPr="00384545">
        <w:rPr>
          <w:rFonts w:ascii="Tahoma" w:eastAsia="微软雅黑" w:hAnsi="Tahoma" w:cs="Tahoma"/>
          <w:color w:val="0E101A"/>
          <w:sz w:val="24"/>
          <w:szCs w:val="24"/>
        </w:rPr>
        <w:t xml:space="preserve"> data</w:t>
      </w:r>
      <w:r w:rsidR="00384545">
        <w:rPr>
          <w:rFonts w:ascii="Tahoma" w:eastAsia="微软雅黑" w:hAnsi="Tahoma" w:cs="Tahoma"/>
          <w:color w:val="0E101A"/>
          <w:sz w:val="24"/>
          <w:szCs w:val="24"/>
        </w:rPr>
        <w:t xml:space="preserve"> analysis</w:t>
      </w:r>
      <w:r w:rsidRPr="0097171D">
        <w:rPr>
          <w:rFonts w:ascii="Tahoma" w:eastAsia="微软雅黑" w:hAnsi="Tahoma" w:cs="Tahoma"/>
          <w:color w:val="0E101A"/>
          <w:sz w:val="24"/>
          <w:szCs w:val="24"/>
        </w:rPr>
        <w:t>. The limited data collection channel</w:t>
      </w:r>
      <w:r w:rsidR="00384545">
        <w:rPr>
          <w:rFonts w:ascii="Tahoma" w:eastAsia="微软雅黑" w:hAnsi="Tahoma" w:cs="Tahoma"/>
          <w:color w:val="0E101A"/>
          <w:sz w:val="24"/>
          <w:szCs w:val="24"/>
        </w:rPr>
        <w:t xml:space="preserve"> and d</w:t>
      </w:r>
      <w:r w:rsidR="00384545" w:rsidRPr="00384545">
        <w:rPr>
          <w:rFonts w:ascii="Tahoma" w:eastAsia="微软雅黑" w:hAnsi="Tahoma" w:cs="Tahoma"/>
          <w:color w:val="0E101A"/>
          <w:sz w:val="24"/>
          <w:szCs w:val="24"/>
        </w:rPr>
        <w:t>esensitization data</w:t>
      </w:r>
      <w:r w:rsidR="00384545">
        <w:rPr>
          <w:rFonts w:ascii="Tahoma" w:eastAsia="微软雅黑" w:hAnsi="Tahoma" w:cs="Tahoma"/>
          <w:color w:val="0E101A"/>
          <w:sz w:val="24"/>
          <w:szCs w:val="24"/>
        </w:rPr>
        <w:t xml:space="preserve"> analysis</w:t>
      </w:r>
      <w:r w:rsidRPr="0097171D">
        <w:rPr>
          <w:rFonts w:ascii="Tahoma" w:eastAsia="微软雅黑" w:hAnsi="Tahoma" w:cs="Tahoma"/>
          <w:color w:val="0E101A"/>
          <w:sz w:val="24"/>
          <w:szCs w:val="24"/>
        </w:rPr>
        <w:t xml:space="preserve"> guarantees the data minimization principle.</w:t>
      </w:r>
    </w:p>
    <w:p w14:paraId="3772EBE2" w14:textId="77777777" w:rsidR="00537137" w:rsidRPr="0097171D" w:rsidRDefault="0097171D" w:rsidP="0097171D">
      <w:pPr>
        <w:spacing w:line="14" w:lineRule="auto"/>
        <w:rPr>
          <w:rFonts w:ascii="Tahoma" w:eastAsia="微软雅黑" w:hAnsi="Tahoma" w:cs="Tahoma"/>
          <w:b/>
          <w:bCs/>
          <w:sz w:val="24"/>
          <w:szCs w:val="24"/>
        </w:rPr>
      </w:pPr>
      <w:r w:rsidRPr="0097171D">
        <w:rPr>
          <w:rFonts w:ascii="Tahoma" w:eastAsia="微软雅黑" w:hAnsi="Tahoma" w:cs="Tahoma"/>
          <w:b/>
          <w:bCs/>
          <w:color w:val="0E101A"/>
          <w:sz w:val="24"/>
          <w:szCs w:val="24"/>
        </w:rPr>
        <w:t>Accuracy</w:t>
      </w:r>
    </w:p>
    <w:p w14:paraId="4ED005DB" w14:textId="77777777" w:rsidR="00537137" w:rsidRPr="0097171D" w:rsidRDefault="0097171D" w:rsidP="0097171D">
      <w:pPr>
        <w:spacing w:line="14" w:lineRule="auto"/>
        <w:rPr>
          <w:rFonts w:ascii="Tahoma" w:eastAsia="微软雅黑" w:hAnsi="Tahoma" w:cs="Tahoma"/>
          <w:sz w:val="24"/>
          <w:szCs w:val="24"/>
        </w:rPr>
      </w:pPr>
      <w:r w:rsidRPr="0097171D">
        <w:rPr>
          <w:rFonts w:ascii="Tahoma" w:eastAsia="微软雅黑" w:hAnsi="Tahoma" w:cs="Tahoma"/>
          <w:color w:val="0E101A"/>
          <w:sz w:val="24"/>
          <w:szCs w:val="24"/>
        </w:rPr>
        <w:t>Sync Study will provide the corresponding ability testing procedures in order to remain the data accuracy of the collected data, just like the Linkedin ability evaluation questions.</w:t>
      </w:r>
    </w:p>
    <w:p w14:paraId="1D7D8AB6" w14:textId="77777777" w:rsidR="00537137" w:rsidRPr="0097171D" w:rsidRDefault="0097171D" w:rsidP="0097171D">
      <w:pPr>
        <w:spacing w:line="14" w:lineRule="auto"/>
        <w:rPr>
          <w:rFonts w:ascii="Tahoma" w:eastAsia="微软雅黑" w:hAnsi="Tahoma" w:cs="Tahoma"/>
          <w:b/>
          <w:bCs/>
          <w:sz w:val="24"/>
          <w:szCs w:val="24"/>
        </w:rPr>
      </w:pPr>
      <w:r w:rsidRPr="0097171D">
        <w:rPr>
          <w:rFonts w:ascii="Tahoma" w:eastAsia="微软雅黑" w:hAnsi="Tahoma" w:cs="Tahoma"/>
          <w:b/>
          <w:bCs/>
          <w:color w:val="0E101A"/>
          <w:sz w:val="24"/>
          <w:szCs w:val="24"/>
        </w:rPr>
        <w:t>Storage limitation</w:t>
      </w:r>
    </w:p>
    <w:p w14:paraId="743F2E06" w14:textId="77777777" w:rsidR="00537137" w:rsidRPr="0097171D" w:rsidRDefault="0097171D" w:rsidP="0097171D">
      <w:pPr>
        <w:spacing w:line="14" w:lineRule="auto"/>
        <w:rPr>
          <w:rFonts w:ascii="Tahoma" w:eastAsia="微软雅黑" w:hAnsi="Tahoma" w:cs="Tahoma"/>
          <w:sz w:val="24"/>
          <w:szCs w:val="24"/>
        </w:rPr>
      </w:pPr>
      <w:r w:rsidRPr="0097171D">
        <w:rPr>
          <w:rFonts w:ascii="Tahoma" w:eastAsia="微软雅黑" w:hAnsi="Tahoma" w:cs="Tahoma"/>
          <w:color w:val="0E101A"/>
          <w:sz w:val="24"/>
          <w:szCs w:val="24"/>
        </w:rPr>
        <w:t>GDPR defines organizations should not keep personal data for longer than needed for storage limitation and Study Sync will not keep the human subject-related data after the student has graduated from the university in meeting the storage limitation requirement [3].</w:t>
      </w:r>
    </w:p>
    <w:p w14:paraId="36D58814" w14:textId="77777777" w:rsidR="00537137" w:rsidRPr="0097171D" w:rsidRDefault="0097171D" w:rsidP="0097171D">
      <w:pPr>
        <w:spacing w:line="14" w:lineRule="auto"/>
        <w:rPr>
          <w:rFonts w:ascii="Tahoma" w:eastAsia="微软雅黑" w:hAnsi="Tahoma" w:cs="Tahoma"/>
          <w:b/>
          <w:bCs/>
          <w:sz w:val="24"/>
          <w:szCs w:val="24"/>
        </w:rPr>
      </w:pPr>
      <w:r w:rsidRPr="0097171D">
        <w:rPr>
          <w:rFonts w:ascii="Tahoma" w:eastAsia="微软雅黑" w:hAnsi="Tahoma" w:cs="Tahoma"/>
          <w:b/>
          <w:bCs/>
          <w:color w:val="0E101A"/>
          <w:sz w:val="24"/>
          <w:szCs w:val="24"/>
        </w:rPr>
        <w:t>Integrity and confidentiality (security)</w:t>
      </w:r>
    </w:p>
    <w:p w14:paraId="38D23052" w14:textId="77777777" w:rsidR="00537137" w:rsidRPr="0097171D" w:rsidRDefault="0097171D" w:rsidP="0097171D">
      <w:pPr>
        <w:spacing w:line="14" w:lineRule="auto"/>
        <w:rPr>
          <w:rFonts w:ascii="Tahoma" w:eastAsia="微软雅黑" w:hAnsi="Tahoma" w:cs="Tahoma"/>
          <w:sz w:val="24"/>
          <w:szCs w:val="24"/>
        </w:rPr>
      </w:pPr>
      <w:r w:rsidRPr="0097171D">
        <w:rPr>
          <w:rFonts w:ascii="Tahoma" w:eastAsia="微软雅黑" w:hAnsi="Tahoma" w:cs="Tahoma"/>
          <w:color w:val="0E101A"/>
          <w:sz w:val="24"/>
          <w:szCs w:val="24"/>
        </w:rPr>
        <w:t>Study Sync uses the Aliyun for data storage, and Aliyun is a top storage provider in China, which could defend 800 million attacks every day, 200 million password cracks every day, 2 billion attacks on double 11 global shopping festival 2018. Thus the integrity and confidentiality of our data storage are guaranteed by Aliyun [4].</w:t>
      </w:r>
    </w:p>
    <w:p w14:paraId="72949772" w14:textId="77777777" w:rsidR="00537137" w:rsidRPr="0097171D" w:rsidRDefault="0097171D" w:rsidP="0097171D">
      <w:pPr>
        <w:spacing w:line="14" w:lineRule="auto"/>
        <w:rPr>
          <w:rFonts w:ascii="Tahoma" w:eastAsia="微软雅黑" w:hAnsi="Tahoma" w:cs="Tahoma"/>
          <w:b/>
          <w:bCs/>
          <w:sz w:val="24"/>
          <w:szCs w:val="24"/>
        </w:rPr>
      </w:pPr>
      <w:r w:rsidRPr="0097171D">
        <w:rPr>
          <w:rFonts w:ascii="Tahoma" w:eastAsia="微软雅黑" w:hAnsi="Tahoma" w:cs="Tahoma"/>
          <w:b/>
          <w:bCs/>
          <w:color w:val="0E101A"/>
          <w:sz w:val="24"/>
          <w:szCs w:val="24"/>
        </w:rPr>
        <w:t>Accountability</w:t>
      </w:r>
    </w:p>
    <w:p w14:paraId="4982F290" w14:textId="77777777" w:rsidR="00537137" w:rsidRPr="0097171D" w:rsidRDefault="0097171D" w:rsidP="0097171D">
      <w:pPr>
        <w:spacing w:line="14" w:lineRule="auto"/>
        <w:rPr>
          <w:rFonts w:ascii="Tahoma" w:eastAsia="微软雅黑" w:hAnsi="Tahoma" w:cs="Tahoma"/>
          <w:sz w:val="24"/>
          <w:szCs w:val="24"/>
        </w:rPr>
      </w:pPr>
      <w:r w:rsidRPr="0097171D">
        <w:rPr>
          <w:rFonts w:ascii="Tahoma" w:eastAsia="微软雅黑" w:hAnsi="Tahoma" w:cs="Tahoma"/>
          <w:color w:val="0E101A"/>
          <w:sz w:val="24"/>
          <w:szCs w:val="24"/>
        </w:rPr>
        <w:t>Accountability refers to a principle which requires that organizations put in place appropriate technical and organizational measures and be able to demonstrate what they did and its effectiveness when requested [5]. Based on our mini program attached in the previous email, serving to the corresponding user interface in crediting for the accountability of our products.</w:t>
      </w:r>
    </w:p>
    <w:p w14:paraId="3FA06BC8" w14:textId="77777777" w:rsidR="00537137" w:rsidRPr="0097171D" w:rsidRDefault="0097171D" w:rsidP="0097171D">
      <w:pPr>
        <w:spacing w:line="14" w:lineRule="auto"/>
        <w:rPr>
          <w:rFonts w:ascii="Tahoma" w:eastAsia="微软雅黑" w:hAnsi="Tahoma" w:cs="Tahoma"/>
          <w:b/>
          <w:bCs/>
          <w:sz w:val="24"/>
          <w:szCs w:val="24"/>
        </w:rPr>
      </w:pPr>
      <w:r w:rsidRPr="0097171D">
        <w:rPr>
          <w:rFonts w:ascii="Tahoma" w:eastAsia="微软雅黑" w:hAnsi="Tahoma" w:cs="Tahoma"/>
          <w:b/>
          <w:bCs/>
          <w:color w:val="0E101A"/>
          <w:sz w:val="24"/>
          <w:szCs w:val="24"/>
        </w:rPr>
        <w:t>Conclusion</w:t>
      </w:r>
    </w:p>
    <w:p w14:paraId="0853BFF6" w14:textId="77777777" w:rsidR="00537137" w:rsidRPr="0097171D" w:rsidRDefault="0097171D" w:rsidP="0097171D">
      <w:pPr>
        <w:spacing w:line="14" w:lineRule="auto"/>
        <w:rPr>
          <w:rFonts w:ascii="Tahoma" w:eastAsia="微软雅黑" w:hAnsi="Tahoma" w:cs="Tahoma"/>
          <w:sz w:val="24"/>
          <w:szCs w:val="24"/>
        </w:rPr>
      </w:pPr>
      <w:r w:rsidRPr="0097171D">
        <w:rPr>
          <w:rFonts w:ascii="Tahoma" w:eastAsia="微软雅黑" w:hAnsi="Tahoma" w:cs="Tahoma"/>
          <w:color w:val="0E101A"/>
          <w:sz w:val="24"/>
          <w:szCs w:val="24"/>
        </w:rPr>
        <w:t>In conclusion, the data collection, storage, and distribution method are within the seven criteria mentions by the GPDR.</w:t>
      </w:r>
    </w:p>
    <w:p w14:paraId="0FF7EDDA" w14:textId="77777777" w:rsidR="00537137" w:rsidRPr="0097171D" w:rsidRDefault="0097171D" w:rsidP="0097171D">
      <w:pPr>
        <w:spacing w:line="14" w:lineRule="auto"/>
        <w:rPr>
          <w:rFonts w:ascii="Tahoma" w:eastAsia="微软雅黑" w:hAnsi="Tahoma" w:cs="Tahoma"/>
          <w:b/>
          <w:bCs/>
          <w:sz w:val="24"/>
          <w:szCs w:val="24"/>
        </w:rPr>
      </w:pPr>
      <w:r w:rsidRPr="0097171D">
        <w:rPr>
          <w:rFonts w:ascii="Tahoma" w:eastAsia="微软雅黑" w:hAnsi="Tahoma" w:cs="Tahoma"/>
          <w:b/>
          <w:bCs/>
          <w:color w:val="0E101A"/>
          <w:sz w:val="24"/>
          <w:szCs w:val="24"/>
        </w:rPr>
        <w:t>Reference</w:t>
      </w:r>
    </w:p>
    <w:p w14:paraId="356C817D" w14:textId="77777777" w:rsidR="00537137" w:rsidRPr="0097171D" w:rsidRDefault="0097171D" w:rsidP="0097171D">
      <w:pPr>
        <w:spacing w:line="14" w:lineRule="auto"/>
        <w:rPr>
          <w:rFonts w:ascii="Tahoma" w:eastAsia="微软雅黑" w:hAnsi="Tahoma" w:cs="Tahoma"/>
          <w:sz w:val="24"/>
          <w:szCs w:val="24"/>
        </w:rPr>
      </w:pPr>
      <w:r w:rsidRPr="0097171D">
        <w:rPr>
          <w:rFonts w:ascii="Tahoma" w:eastAsia="微软雅黑" w:hAnsi="Tahoma" w:cs="Tahoma"/>
          <w:color w:val="0E101A"/>
          <w:sz w:val="24"/>
          <w:szCs w:val="24"/>
        </w:rPr>
        <w:t>[1] </w:t>
      </w:r>
      <w:hyperlink r:id="rId7">
        <w:r w:rsidRPr="0097171D">
          <w:rPr>
            <w:rFonts w:ascii="Tahoma" w:eastAsia="微软雅黑" w:hAnsi="Tahoma" w:cs="Tahoma"/>
            <w:color w:val="4A6EE0"/>
            <w:sz w:val="24"/>
            <w:szCs w:val="24"/>
            <w:u w:val="single"/>
          </w:rPr>
          <w:t>https://gdpr-info.eu/</w:t>
        </w:r>
      </w:hyperlink>
    </w:p>
    <w:p w14:paraId="1EB06238" w14:textId="77777777" w:rsidR="00537137" w:rsidRPr="0097171D" w:rsidRDefault="0097171D" w:rsidP="0097171D">
      <w:pPr>
        <w:spacing w:line="14" w:lineRule="auto"/>
        <w:rPr>
          <w:rFonts w:ascii="Tahoma" w:eastAsia="微软雅黑" w:hAnsi="Tahoma" w:cs="Tahoma"/>
          <w:sz w:val="24"/>
          <w:szCs w:val="24"/>
        </w:rPr>
      </w:pPr>
      <w:r w:rsidRPr="0097171D">
        <w:rPr>
          <w:rFonts w:ascii="Tahoma" w:eastAsia="微软雅黑" w:hAnsi="Tahoma" w:cs="Tahoma"/>
          <w:color w:val="0E101A"/>
          <w:sz w:val="24"/>
          <w:szCs w:val="24"/>
        </w:rPr>
        <w:t>[2] </w:t>
      </w:r>
      <w:hyperlink r:id="rId8">
        <w:r w:rsidRPr="0097171D">
          <w:rPr>
            <w:rFonts w:ascii="Tahoma" w:eastAsia="微软雅黑" w:hAnsi="Tahoma" w:cs="Tahoma"/>
            <w:color w:val="4A6EE0"/>
            <w:sz w:val="24"/>
            <w:szCs w:val="24"/>
            <w:u w:val="single"/>
          </w:rPr>
          <w:t>https://www.xjtlu.edu.cn/assets/files/xipu_institution/XIPUInstitutionReport3.pdf</w:t>
        </w:r>
      </w:hyperlink>
    </w:p>
    <w:p w14:paraId="6FB4AE98" w14:textId="77777777" w:rsidR="00537137" w:rsidRPr="0097171D" w:rsidRDefault="0097171D" w:rsidP="0097171D">
      <w:pPr>
        <w:spacing w:line="14" w:lineRule="auto"/>
        <w:rPr>
          <w:rFonts w:ascii="Tahoma" w:eastAsia="微软雅黑" w:hAnsi="Tahoma" w:cs="Tahoma"/>
          <w:sz w:val="24"/>
          <w:szCs w:val="24"/>
        </w:rPr>
      </w:pPr>
      <w:r w:rsidRPr="0097171D">
        <w:rPr>
          <w:rFonts w:ascii="Tahoma" w:eastAsia="微软雅黑" w:hAnsi="Tahoma" w:cs="Tahoma"/>
          <w:color w:val="0E101A"/>
          <w:sz w:val="24"/>
          <w:szCs w:val="24"/>
        </w:rPr>
        <w:t>[3] </w:t>
      </w:r>
      <w:hyperlink r:id="rId9">
        <w:r w:rsidRPr="0097171D">
          <w:rPr>
            <w:rFonts w:ascii="Tahoma" w:eastAsia="微软雅黑" w:hAnsi="Tahoma" w:cs="Tahoma"/>
            <w:color w:val="4A6EE0"/>
            <w:sz w:val="24"/>
            <w:szCs w:val="24"/>
            <w:u w:val="single"/>
          </w:rPr>
          <w:t>https://www.dataguise.com/gdpr-knowledge-center/storage-limitation-principle/</w:t>
        </w:r>
      </w:hyperlink>
    </w:p>
    <w:p w14:paraId="019AFC87" w14:textId="77777777" w:rsidR="00537137" w:rsidRPr="0097171D" w:rsidRDefault="0097171D" w:rsidP="0097171D">
      <w:pPr>
        <w:spacing w:line="14" w:lineRule="auto"/>
        <w:rPr>
          <w:rFonts w:ascii="Tahoma" w:eastAsia="微软雅黑" w:hAnsi="Tahoma" w:cs="Tahoma"/>
          <w:sz w:val="24"/>
          <w:szCs w:val="24"/>
        </w:rPr>
      </w:pPr>
      <w:r w:rsidRPr="0097171D">
        <w:rPr>
          <w:rFonts w:ascii="Tahoma" w:eastAsia="微软雅黑" w:hAnsi="Tahoma" w:cs="Tahoma"/>
          <w:color w:val="0E101A"/>
          <w:sz w:val="24"/>
          <w:szCs w:val="24"/>
        </w:rPr>
        <w:t>[4] </w:t>
      </w:r>
      <w:hyperlink r:id="rId10">
        <w:r w:rsidRPr="0097171D">
          <w:rPr>
            <w:rFonts w:ascii="Tahoma" w:eastAsia="微软雅黑" w:hAnsi="Tahoma" w:cs="Tahoma"/>
            <w:color w:val="4A6EE0"/>
            <w:sz w:val="24"/>
            <w:szCs w:val="24"/>
            <w:u w:val="single"/>
          </w:rPr>
          <w:t>https://www.alibabacloud.com/product/security</w:t>
        </w:r>
      </w:hyperlink>
    </w:p>
    <w:p w14:paraId="09E82BDC" w14:textId="731F1318" w:rsidR="00537137" w:rsidRPr="0097171D" w:rsidRDefault="0097171D" w:rsidP="0097171D">
      <w:pPr>
        <w:spacing w:line="14" w:lineRule="auto"/>
        <w:jc w:val="left"/>
        <w:rPr>
          <w:rFonts w:ascii="Tahoma" w:eastAsia="微软雅黑" w:hAnsi="Tahoma" w:cs="Tahoma"/>
          <w:sz w:val="24"/>
          <w:szCs w:val="24"/>
        </w:rPr>
      </w:pPr>
      <w:r w:rsidRPr="0097171D">
        <w:rPr>
          <w:rFonts w:ascii="Tahoma" w:eastAsia="微软雅黑" w:hAnsi="Tahoma" w:cs="Tahoma"/>
          <w:color w:val="0E101A"/>
          <w:sz w:val="24"/>
          <w:szCs w:val="24"/>
        </w:rPr>
        <w:t>[5] </w:t>
      </w:r>
      <w:hyperlink r:id="rId11" w:anchor=":~:text=The%20General%20Data%20Protection%20Regulation,and%20its%20effectiveness%20when%20requested.">
        <w:r w:rsidRPr="0097171D">
          <w:rPr>
            <w:rFonts w:ascii="Tahoma" w:eastAsia="微软雅黑" w:hAnsi="Tahoma" w:cs="Tahoma"/>
            <w:color w:val="4A6EE0"/>
            <w:sz w:val="24"/>
            <w:szCs w:val="24"/>
            <w:u w:val="single"/>
          </w:rPr>
          <w:t>https://edps.europa.eu/data-protection/our-work/subjects/accountability_en#:~:text=The%20General%20Data%20Protection%20Regulation,and%20its%20effectiveness%20when%20requested.</w:t>
        </w:r>
      </w:hyperlink>
    </w:p>
    <w:sectPr w:rsidR="00537137" w:rsidRPr="0097171D">
      <w:pgSz w:w="11905" w:h="16845"/>
      <w:pgMar w:top="851" w:right="851" w:bottom="851"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384545"/>
    <w:rsid w:val="00537137"/>
    <w:rsid w:val="0059531B"/>
    <w:rsid w:val="00616505"/>
    <w:rsid w:val="0062213C"/>
    <w:rsid w:val="00633F40"/>
    <w:rsid w:val="006549AD"/>
    <w:rsid w:val="00684D9C"/>
    <w:rsid w:val="0097171D"/>
    <w:rsid w:val="00A60633"/>
    <w:rsid w:val="00BA0C1A"/>
    <w:rsid w:val="00BB6613"/>
    <w:rsid w:val="00C061CB"/>
    <w:rsid w:val="00C604EC"/>
    <w:rsid w:val="00D4673B"/>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04CF1BCC"/>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emiHidden/>
    <w:qFormat/>
    <w:rPr>
      <w:sz w:val="18"/>
      <w:szCs w:val="18"/>
    </w:rPr>
  </w:style>
  <w:style w:type="character" w:customStyle="1" w:styleId="FooterChar">
    <w:name w:val="Footer Char"/>
    <w:basedOn w:val="DefaultParagraphFont"/>
    <w:link w:val="Footer"/>
    <w:uiPriority w:val="99"/>
    <w:semiHidden/>
    <w:qFormat/>
    <w:rPr>
      <w:sz w:val="18"/>
      <w:szCs w:val="18"/>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753573">
      <w:bodyDiv w:val="1"/>
      <w:marLeft w:val="0"/>
      <w:marRight w:val="0"/>
      <w:marTop w:val="0"/>
      <w:marBottom w:val="0"/>
      <w:divBdr>
        <w:top w:val="none" w:sz="0" w:space="0" w:color="auto"/>
        <w:left w:val="none" w:sz="0" w:space="0" w:color="auto"/>
        <w:bottom w:val="none" w:sz="0" w:space="0" w:color="auto"/>
        <w:right w:val="none" w:sz="0" w:space="0" w:color="auto"/>
      </w:divBdr>
      <w:divsChild>
        <w:div w:id="1494565208">
          <w:marLeft w:val="0"/>
          <w:marRight w:val="0"/>
          <w:marTop w:val="0"/>
          <w:marBottom w:val="0"/>
          <w:divBdr>
            <w:top w:val="none" w:sz="0" w:space="0" w:color="auto"/>
            <w:left w:val="none" w:sz="0" w:space="0" w:color="auto"/>
            <w:bottom w:val="none" w:sz="0" w:space="0" w:color="auto"/>
            <w:right w:val="none" w:sz="0" w:space="0" w:color="auto"/>
          </w:divBdr>
          <w:divsChild>
            <w:div w:id="956377944">
              <w:marLeft w:val="0"/>
              <w:marRight w:val="0"/>
              <w:marTop w:val="0"/>
              <w:marBottom w:val="0"/>
              <w:divBdr>
                <w:top w:val="none" w:sz="0" w:space="0" w:color="auto"/>
                <w:left w:val="none" w:sz="0" w:space="0" w:color="auto"/>
                <w:bottom w:val="none" w:sz="0" w:space="0" w:color="auto"/>
                <w:right w:val="none" w:sz="0" w:space="0" w:color="auto"/>
              </w:divBdr>
              <w:divsChild>
                <w:div w:id="2071884389">
                  <w:marLeft w:val="-240"/>
                  <w:marRight w:val="-240"/>
                  <w:marTop w:val="0"/>
                  <w:marBottom w:val="0"/>
                  <w:divBdr>
                    <w:top w:val="none" w:sz="0" w:space="0" w:color="auto"/>
                    <w:left w:val="none" w:sz="0" w:space="0" w:color="auto"/>
                    <w:bottom w:val="none" w:sz="0" w:space="0" w:color="auto"/>
                    <w:right w:val="none" w:sz="0" w:space="0" w:color="auto"/>
                  </w:divBdr>
                  <w:divsChild>
                    <w:div w:id="1957831575">
                      <w:marLeft w:val="0"/>
                      <w:marRight w:val="0"/>
                      <w:marTop w:val="0"/>
                      <w:marBottom w:val="0"/>
                      <w:divBdr>
                        <w:top w:val="none" w:sz="0" w:space="0" w:color="auto"/>
                        <w:left w:val="none" w:sz="0" w:space="0" w:color="auto"/>
                        <w:bottom w:val="none" w:sz="0" w:space="0" w:color="auto"/>
                        <w:right w:val="none" w:sz="0" w:space="0" w:color="auto"/>
                      </w:divBdr>
                      <w:divsChild>
                        <w:div w:id="1575555010">
                          <w:marLeft w:val="0"/>
                          <w:marRight w:val="0"/>
                          <w:marTop w:val="0"/>
                          <w:marBottom w:val="0"/>
                          <w:divBdr>
                            <w:top w:val="none" w:sz="0" w:space="0" w:color="auto"/>
                            <w:left w:val="none" w:sz="0" w:space="0" w:color="auto"/>
                            <w:bottom w:val="none" w:sz="0" w:space="0" w:color="auto"/>
                            <w:right w:val="none" w:sz="0" w:space="0" w:color="auto"/>
                          </w:divBdr>
                        </w:div>
                        <w:div w:id="1004166477">
                          <w:marLeft w:val="0"/>
                          <w:marRight w:val="0"/>
                          <w:marTop w:val="0"/>
                          <w:marBottom w:val="0"/>
                          <w:divBdr>
                            <w:top w:val="none" w:sz="0" w:space="0" w:color="auto"/>
                            <w:left w:val="none" w:sz="0" w:space="0" w:color="auto"/>
                            <w:bottom w:val="none" w:sz="0" w:space="0" w:color="auto"/>
                            <w:right w:val="none" w:sz="0" w:space="0" w:color="auto"/>
                          </w:divBdr>
                          <w:divsChild>
                            <w:div w:id="308946685">
                              <w:marLeft w:val="165"/>
                              <w:marRight w:val="165"/>
                              <w:marTop w:val="0"/>
                              <w:marBottom w:val="0"/>
                              <w:divBdr>
                                <w:top w:val="none" w:sz="0" w:space="0" w:color="auto"/>
                                <w:left w:val="none" w:sz="0" w:space="0" w:color="auto"/>
                                <w:bottom w:val="none" w:sz="0" w:space="0" w:color="auto"/>
                                <w:right w:val="none" w:sz="0" w:space="0" w:color="auto"/>
                              </w:divBdr>
                              <w:divsChild>
                                <w:div w:id="1135830290">
                                  <w:marLeft w:val="0"/>
                                  <w:marRight w:val="0"/>
                                  <w:marTop w:val="0"/>
                                  <w:marBottom w:val="0"/>
                                  <w:divBdr>
                                    <w:top w:val="none" w:sz="0" w:space="0" w:color="auto"/>
                                    <w:left w:val="none" w:sz="0" w:space="0" w:color="auto"/>
                                    <w:bottom w:val="none" w:sz="0" w:space="0" w:color="auto"/>
                                    <w:right w:val="none" w:sz="0" w:space="0" w:color="auto"/>
                                  </w:divBdr>
                                  <w:divsChild>
                                    <w:div w:id="3692598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jtlu.edu.cn/assets/files/xipu_institution/XIPUInstitutionReport3.pdf"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dpr-info.eu/"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ps.europa.eu/data-protection/our-work/subjects/accountability_en" TargetMode="External"/><Relationship Id="rId5" Type="http://schemas.openxmlformats.org/officeDocument/2006/relationships/settings" Target="settings.xml"/><Relationship Id="rId10" Type="http://schemas.openxmlformats.org/officeDocument/2006/relationships/hyperlink" Target="https://www.alibabacloud.com/product/security" TargetMode="External"/><Relationship Id="rId4" Type="http://schemas.openxmlformats.org/officeDocument/2006/relationships/styles" Target="styles.xml"/><Relationship Id="rId9" Type="http://schemas.openxmlformats.org/officeDocument/2006/relationships/hyperlink" Target="https://www.dataguise.com/gdpr-knowledge-center/storage-limitation-princip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9="urn:schemas-microsoft-com:office:excel"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office:excel"/>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teng dequn</cp:lastModifiedBy>
  <cp:revision>4</cp:revision>
  <dcterms:created xsi:type="dcterms:W3CDTF">2020-08-13T07:19:00Z</dcterms:created>
  <dcterms:modified xsi:type="dcterms:W3CDTF">2020-08-25T05:37:00Z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