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280"/>
        <w:jc w:val="center"/>
      </w:pPr>
      <w:r>
        <w:rPr>
          <w:noProof/>
        </w:rPr>
        <w:drawing>
          <wp:inline distT="0" distB="0" distL="0" distR="0">
            <wp:extent cx="731520" cy="585216"/>
            <wp:effectExtent l="0" t="0" r="0" b="0"/>
            <wp:docPr id="100" name="Nest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estERP Logo"/>
                    <pic:cNvPicPr/>
                  </pic:nvPicPr>
                  <pic:blipFill>
                    <a:blip r:embed="rId10"/>
                    <a:stretch>
                      <a:fillRect/>
                    </a:stretch>
                  </pic:blipFill>
                  <pic:spPr>
                    <a:xfrm>
                      <a:off x="0" y="0"/>
                      <a:ext cx="731520" cy="585216"/>
                    </a:xfrm>
                    <a:prstGeom prst="rect">
                      <a:avLst/>
                    </a:prstGeom>
                  </pic:spPr>
                </pic:pic>
              </a:graphicData>
            </a:graphic>
          </wp:inline>
        </w:drawing>
      </w:r>
    </w:p>
    <w:p>
      <w:pPr>
        <w:shd w:fill="1F3864" w:val="clear"/>
        <w:spacing w:after="0" w:before="560"/>
        <w:jc w:val="center"/>
      </w:pPr>
      <w:r>
        <w:rPr>
          <w:rFonts w:ascii="Arial" w:cs="Arial" w:eastAsia="Arial" w:hAnsi="Arial"/>
          <w:b/>
          <w:bCs/>
          <w:color w:val="FFFFFF"/>
          <w:sz w:val="52"/>
          <w:szCs w:val="52"/>
        </w:rPr>
        <w:t xml:space="preserve">NestERP SBCA Integration</w:t>
      </w:r>
    </w:p>
    <w:p>
      <w:pPr>
        <w:shd w:fill="1F3864" w:val="clear"/>
        <w:spacing w:after="0" w:before="160"/>
        <w:jc w:val="center"/>
      </w:pPr>
      <w:r>
        <w:rPr>
          <w:rFonts w:ascii="Arial" w:cs="Arial" w:eastAsia="Arial" w:hAnsi="Arial"/>
          <w:color w:val="D6E4F0"/>
          <w:sz w:val="34"/>
          <w:szCs w:val="34"/>
        </w:rPr>
        <w:t xml:space="preserve">New Client Setup Guide</w:t>
      </w:r>
    </w:p>
    <w:p>
      <w:pPr>
        <w:shd w:fill="1F3864" w:val="clear"/>
        <w:spacing w:after="560" w:before="200"/>
        <w:jc w:val="center"/>
      </w:pPr>
      <w:r>
        <w:rPr>
          <w:rFonts w:ascii="Arial" w:cs="Arial" w:eastAsia="Arial" w:hAnsi="Arial"/>
          <w:i/>
          <w:iCs/>
          <w:color w:val="5B8DB8"/>
          <w:sz w:val="22"/>
          <w:szCs w:val="22"/>
        </w:rPr>
        <w:t xml:space="preserve">Step-by-step configuration for first-time deployment</w:t>
      </w:r>
    </w:p>
    <w:p>
      <w:pPr>
        <w:shd w:fill="2E5FA3" w:val="clear"/>
        <w:spacing w:after="0" w:before="0"/>
      </w:pPr>
      <w:r>
        <w:t xml:space="preserve"/>
      </w:r>
    </w:p>
    <w:p>
      <w:pPr>
        <w:spacing w:after="60" w:before="0"/>
      </w:pPr>
      <w:r>
        <w:t xml:space="preserve"/>
      </w:r>
    </w:p>
    <w:p>
      <w:pPr>
        <w:spacing w:after="60" w:before="0"/>
      </w:pPr>
      <w:r>
        <w:t xml:space="preserve"/>
      </w:r>
    </w:p>
    <w:p>
      <w:pPr>
        <w:pStyle w:val="Heading1"/>
        <w:shd w:fill="1F3864" w:val="clear"/>
        <w:spacing w:after="120" w:before="360"/>
        <w:ind w:left="180" w:right="180"/>
      </w:pPr>
      <w:r>
        <w:rPr>
          <w:rFonts w:ascii="Arial" w:cs="Arial" w:eastAsia="Arial" w:hAnsi="Arial"/>
          <w:b/>
          <w:bCs/>
          <w:color w:val="FFFFFF"/>
          <w:sz w:val="32"/>
          <w:szCs w:val="32"/>
        </w:rPr>
        <w:t xml:space="preserve">1.  Overview</w:t>
      </w:r>
    </w:p>
    <w:p>
      <w:pPr>
        <w:spacing w:after="60" w:before="0"/>
      </w:pPr>
      <w:r>
        <w:t xml:space="preserve"/>
      </w:r>
    </w:p>
    <w:p>
      <w:pPr>
        <w:spacing w:after="80" w:before="80"/>
      </w:pPr>
      <w:r>
        <w:rPr>
          <w:rFonts w:ascii="Arial" w:cs="Arial" w:eastAsia="Arial" w:hAnsi="Arial"/>
          <w:color w:val="1A1A1A"/>
          <w:sz w:val="22"/>
          <w:szCs w:val="22"/>
        </w:rPr>
        <w:t xml:space="preserve">This guide walks through the complete first-time configuration of the NestERP SBCA integration for a new client. Follow each section in order — the sequence matters because later steps depend on earlier ones being in place.</w:t>
      </w:r>
    </w:p>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Before starting: confirm that the NestERP API middleware is deployed and accessible, and that you have the client's Sage Business Cloud Accounting credentials to hand.</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w:tc>
          <w:tcPr>
            <w:tcW w:type="dxa" w:w="481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What you need</w:t>
            </w:r>
          </w:p>
        </w:tc>
        <w:tc>
          <w:tcPr>
            <w:tcW w:type="dxa" w:w="481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Where to get it</w:t>
            </w:r>
          </w:p>
        </w:tc>
      </w:tr>
      <w:tr>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NestERP API base URL</w:t>
            </w:r>
          </w:p>
        </w:tc>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From the NestERP API deployment (e.g. https://nesterp-api.yourdomain.co.za)</w:t>
            </w:r>
          </w:p>
        </w:tc>
      </w:tr>
      <w:tr>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Sage API Key</w:t>
            </w:r>
          </w:p>
        </w:tc>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From the Sage developer portal or your Sage partner</w:t>
            </w:r>
          </w:p>
        </w:tc>
      </w:tr>
      <w:tr>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Sage Username &amp; Password</w:t>
            </w:r>
          </w:p>
        </w:tc>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Client's Sage Business Cloud login credentials</w:t>
            </w:r>
          </w:p>
        </w:tc>
      </w:tr>
      <w:tr>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Sage Provider string</w:t>
            </w:r>
          </w:p>
        </w:tc>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From the Sage OAuth app registration</w:t>
            </w:r>
          </w:p>
        </w:tc>
      </w:tr>
      <w:tr>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Sage Auth URL</w:t>
            </w:r>
          </w:p>
        </w:tc>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From the Sage OAuth app registration</w:t>
            </w:r>
          </w:p>
        </w:tc>
      </w:tr>
      <w:tr>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NestERP Company name</w:t>
            </w:r>
          </w:p>
        </w:tc>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Must already exist in NestERP before setup</w:t>
            </w:r>
          </w:p>
        </w:tc>
      </w:tr>
      <w:tr>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NestERP Warehouse</w:t>
            </w:r>
          </w:p>
        </w:tc>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warehouse must exist in NestERP for the company</w:t>
            </w:r>
          </w:p>
        </w:tc>
      </w:tr>
      <w:tr>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Tax ID</w:t>
            </w:r>
          </w:p>
        </w:tc>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Client's Sage Tax ID (numeric)</w:t>
            </w:r>
          </w:p>
        </w:tc>
      </w:tr>
    </w:tbl>
    <w:p>
      <w:pPr>
        <w:spacing w:after="60" w:before="0"/>
      </w:pPr>
      <w:r>
        <w:t xml:space="preserve"/>
      </w:r>
    </w:p>
    <w:p>
      <w:pPr>
        <w:spacing w:after="60" w:before="0"/>
      </w:pPr>
      <w:r>
        <w:t xml:space="preserve"/>
      </w:r>
    </w:p>
    <w:p>
      <w:r>
        <w:br w:type="page"/>
      </w:r>
    </w:p>
    <w:p>
      <w:pPr>
        <w:pStyle w:val="Heading1"/>
        <w:shd w:fill="1F3864" w:val="clear"/>
        <w:spacing w:after="120" w:before="360"/>
        <w:ind w:left="180" w:right="180"/>
      </w:pPr>
      <w:r>
        <w:rPr>
          <w:rFonts w:ascii="Arial" w:cs="Arial" w:eastAsia="Arial" w:hAnsi="Arial"/>
          <w:b/>
          <w:bCs/>
          <w:color w:val="FFFFFF"/>
          <w:sz w:val="32"/>
          <w:szCs w:val="32"/>
        </w:rPr>
        <w:t xml:space="preserve">2.  The Settings Page Explained</w:t>
      </w:r>
    </w:p>
    <w:p>
      <w:pPr>
        <w:spacing w:after="60" w:before="0"/>
      </w:pPr>
      <w:r>
        <w:t xml:space="preserve"/>
      </w:r>
    </w:p>
    <w:p>
      <w:pPr>
        <w:spacing w:after="80" w:before="80"/>
      </w:pPr>
      <w:r>
        <w:rPr>
          <w:rFonts w:ascii="Arial" w:cs="Arial" w:eastAsia="Arial" w:hAnsi="Arial"/>
          <w:color w:val="1A1A1A"/>
          <w:sz w:val="22"/>
          <w:szCs w:val="22"/>
        </w:rPr>
        <w:t xml:space="preserve">Navigate to: NestERP → Erpnext Sbca Settings. The page is divided into four tabs.</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Connection Tab</w:t>
      </w:r>
    </w:p>
    <w:p>
      <w:pPr>
        <w:spacing w:after="60" w:before="0"/>
      </w:pPr>
      <w:r>
        <w:t xml:space="preserve"/>
      </w:r>
    </w:p>
    <w:p>
      <w:pPr>
        <w:spacing w:after="80" w:before="80"/>
      </w:pPr>
      <w:r>
        <w:rPr>
          <w:rFonts w:ascii="Arial" w:cs="Arial" w:eastAsia="Arial" w:hAnsi="Arial"/>
          <w:color w:val="1A1A1A"/>
          <w:sz w:val="22"/>
          <w:szCs w:val="22"/>
        </w:rPr>
        <w:t xml:space="preserve">This is the main configuration area. It contains three sections:</w:t>
      </w:r>
    </w:p>
    <w:p>
      <w:pPr>
        <w:spacing w:after="60" w:before="0"/>
      </w:pPr>
      <w:r>
        <w:t xml:space="preserve"/>
      </w:r>
    </w:p>
    <w:p>
      <w:pPr>
        <w:pStyle w:val="Heading3"/>
        <w:spacing w:after="80" w:before="200"/>
      </w:pPr>
      <w:r>
        <w:rPr>
          <w:rFonts w:ascii="Arial" w:cs="Arial" w:eastAsia="Arial" w:hAnsi="Arial"/>
          <w:b/>
          <w:bCs/>
          <w:color w:val="2E5FA3"/>
          <w:sz w:val="22"/>
          <w:szCs w:val="22"/>
        </w:rPr>
        <w:t xml:space="preserve">NestERP API URL</w:t>
      </w:r>
    </w:p>
    <w:p>
      <w:pPr>
        <w:spacing w:after="80" w:before="80"/>
      </w:pPr>
      <w:r>
        <w:rPr>
          <w:rFonts w:ascii="Arial" w:cs="Arial" w:eastAsia="Arial" w:hAnsi="Arial"/>
          <w:color w:val="1A1A1A"/>
          <w:sz w:val="22"/>
          <w:szCs w:val="22"/>
        </w:rPr>
        <w:t xml:space="preserve">The base URL for the NestERP API middleware. All API calls are made to this address. Enter it without a trailing slash.</w:t>
      </w:r>
    </w:p>
    <w:p>
      <w:pPr>
        <w:spacing w:after="80" w:before="80"/>
      </w:pPr>
      <w:r>
        <w:rPr>
          <w:rFonts w:ascii="Arial" w:cs="Arial" w:eastAsia="Arial" w:hAnsi="Arial"/>
          <w:i/>
          <w:iCs/>
          <w:color w:val="555555"/>
          <w:sz w:val="22"/>
          <w:szCs w:val="22"/>
        </w:rPr>
        <w:t xml:space="preserve">Example: https://nesterp-api.clientdomain.co.za</w:t>
      </w:r>
    </w:p>
    <w:p>
      <w:pPr>
        <w:spacing w:after="60" w:before="0"/>
      </w:pPr>
      <w:r>
        <w:t xml:space="preserve"/>
      </w:r>
    </w:p>
    <w:p>
      <w:pPr>
        <w:pStyle w:val="Heading3"/>
        <w:spacing w:after="80" w:before="200"/>
      </w:pPr>
      <w:r>
        <w:rPr>
          <w:rFonts w:ascii="Arial" w:cs="Arial" w:eastAsia="Arial" w:hAnsi="Arial"/>
          <w:b/>
          <w:bCs/>
          <w:color w:val="2E5FA3"/>
          <w:sz w:val="22"/>
          <w:szCs w:val="22"/>
        </w:rPr>
        <w:t xml:space="preserve">Sync Toggles</w:t>
      </w:r>
    </w:p>
    <w:p>
      <w:pPr>
        <w:spacing w:after="80" w:before="80"/>
      </w:pPr>
      <w:r>
        <w:rPr>
          <w:rFonts w:ascii="Arial" w:cs="Arial" w:eastAsia="Arial" w:hAnsi="Arial"/>
          <w:color w:val="1A1A1A"/>
          <w:sz w:val="22"/>
          <w:szCs w:val="22"/>
        </w:rPr>
        <w:t xml:space="preserve">Individual on/off switches for each sync type. Enable only what you need. Each toggle is described below:</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3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Toggle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Direction</w:t>
            </w:r>
          </w:p>
        </w:tc>
        <w:tc>
          <w:tcPr>
            <w:tcW w:type="dxa" w:w="42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Item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item categories as NestERP Item Groups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Items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the full Sage item catalogue into NestERP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Price Lists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price lists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Additional Prices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tiered and additional pricing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Stock-on-hand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Updates NestERP stock quantities from Sage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Accounts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the Sage chart of accounts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Suppliers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suppliers as NestERP Suppliers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Supplier Categories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supplier categories as Supplier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Customers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customers as NestERP Customers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Customer Categories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Imports Sage customer categories as Customer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Pull Sales Orders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Pulls open Sales Orders from Sage into NestERP</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Pull Purchase Orders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 ERP</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Pulls open Purchase Orders from Sage into NestERP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Push Item Prices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Pushes price changes made in NestERP back to Sage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Push Item Updates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Pushes item detail changes to Sage on a schedule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Run Reconciliation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AR/AP balance reconciliation journals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Push Sales Order on Submit</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Sends a new SO to Sage when submitted in NestERP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Push Purchase Order on Submit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Sends a new PO to Sage when submitted in NestERP</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Push Sales Invoice on Submit</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Sends a Sales Invoice to Sage on submit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Push Purchase Invoice on Submit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Sends a Purchase Invoice to Sage on submit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Push Stock Adjustment on Submit</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Posts stock value movements to Sage as journal entries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Push Journal Entry on Submit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ERP → Sage</w:t>
            </w:r>
          </w:p>
        </w:tc>
        <w:tc>
          <w:tcPr>
            <w:tcW w:type="dxa" w:w="42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Pushes manual journal entries to Sage</w:t>
            </w:r>
          </w:p>
        </w:tc>
      </w:tr>
    </w:tbl>
    <w:p>
      <w:pPr>
        <w:spacing w:after="60" w:before="0"/>
      </w:pPr>
      <w:r>
        <w:t xml:space="preserve"/>
      </w:r>
    </w:p>
    <w:p>
      <w:pPr>
        <w:pStyle w:val="Heading3"/>
        <w:spacing w:after="80" w:before="200"/>
      </w:pPr>
      <w:r>
        <w:rPr>
          <w:rFonts w:ascii="Arial" w:cs="Arial" w:eastAsia="Arial" w:hAnsi="Arial"/>
          <w:b/>
          <w:bCs/>
          <w:color w:val="2E5FA3"/>
          <w:sz w:val="22"/>
          <w:szCs w:val="22"/>
        </w:rPr>
        <w:t xml:space="preserve">Last Order Sync Date</w:t>
      </w:r>
    </w:p>
    <w:p>
      <w:pPr>
        <w:spacing w:after="80" w:before="80"/>
      </w:pPr>
      <w:r>
        <w:rPr>
          <w:rFonts w:ascii="Arial" w:cs="Arial" w:eastAsia="Arial" w:hAnsi="Arial"/>
          <w:color w:val="1A1A1A"/>
          <w:sz w:val="22"/>
          <w:szCs w:val="22"/>
        </w:rPr>
        <w:t xml:space="preserve">Controls how far back the SO and PO pull looks. Set this to an appropriate historical date on first setup (e.g. the start of the current financial year). After each successful sync run the system updates this date automatically — do not blank it.</w:t>
      </w:r>
    </w:p>
    <w:p>
      <w:pPr>
        <w:spacing w:after="60" w:before="0"/>
      </w:pPr>
      <w:r>
        <w:t xml:space="preserve"/>
      </w:r>
    </w:p>
    <w:p>
      <w:pPr>
        <w:pStyle w:val="Heading3"/>
        <w:spacing w:after="80" w:before="200"/>
      </w:pPr>
      <w:r>
        <w:rPr>
          <w:rFonts w:ascii="Arial" w:cs="Arial" w:eastAsia="Arial" w:hAnsi="Arial"/>
          <w:b/>
          <w:bCs/>
          <w:color w:val="2E5FA3"/>
          <w:sz w:val="22"/>
          <w:szCs w:val="22"/>
        </w:rPr>
        <w:t xml:space="preserve">Company Sage Integration</w:t>
      </w:r>
    </w:p>
    <w:p>
      <w:pPr>
        <w:spacing w:after="80" w:before="80"/>
      </w:pPr>
      <w:r>
        <w:rPr>
          <w:rFonts w:ascii="Arial" w:cs="Arial" w:eastAsia="Arial" w:hAnsi="Arial"/>
          <w:color w:val="1A1A1A"/>
          <w:sz w:val="22"/>
          <w:szCs w:val="22"/>
        </w:rPr>
        <w:t xml:space="preserve">A child table with one row per NestERP Company that needs to sync with Sage. Each row holds the credentials and settings for one company. Click the pencil icon on a row to edit all fields.</w:t>
      </w:r>
    </w:p>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If you have multiple companies, add one row per company. Each company authenticates independently with its own Sage account.</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Accounts, Taxes, and Opening Balances Tabs</w:t>
      </w:r>
    </w:p>
    <w:p>
      <w:pPr>
        <w:spacing w:after="80" w:before="80"/>
      </w:pPr>
      <w:r>
        <w:rPr>
          <w:rFonts w:ascii="Arial" w:cs="Arial" w:eastAsia="Arial" w:hAnsi="Arial"/>
          <w:color w:val="1A1A1A"/>
          <w:sz w:val="22"/>
          <w:szCs w:val="22"/>
        </w:rPr>
        <w:t xml:space="preserve">These tabs are used after the initial sync has run and accounts have been imported. They are used to map Sage accounts to NestERP accounts and configure tax types. Leave these until the Connection tab is fully configured and the first account sync has completed.</w:t>
      </w:r>
    </w:p>
    <w:p>
      <w:pPr>
        <w:spacing w:after="60" w:before="0"/>
      </w:pPr>
      <w:r>
        <w:t xml:space="preserve"/>
      </w:r>
    </w:p>
    <w:p>
      <w:pPr>
        <w:spacing w:after="60" w:before="0"/>
      </w:pPr>
      <w:r>
        <w:t xml:space="preserve"/>
      </w:r>
    </w:p>
    <w:p>
      <w:r>
        <w:br w:type="page"/>
      </w:r>
    </w:p>
    <w:p>
      <w:pPr>
        <w:pStyle w:val="Heading1"/>
        <w:shd w:fill="1F3864" w:val="clear"/>
        <w:spacing w:after="120" w:before="360"/>
        <w:ind w:left="180" w:right="180"/>
      </w:pPr>
      <w:r>
        <w:rPr>
          <w:rFonts w:ascii="Arial" w:cs="Arial" w:eastAsia="Arial" w:hAnsi="Arial"/>
          <w:b/>
          <w:bCs/>
          <w:color w:val="FFFFFF"/>
          <w:sz w:val="32"/>
          <w:szCs w:val="32"/>
        </w:rPr>
        <w:t xml:space="preserve">3.  Company Sage Integration — Field Reference</w:t>
      </w:r>
    </w:p>
    <w:p>
      <w:pPr>
        <w:spacing w:after="60" w:before="0"/>
      </w:pPr>
      <w:r>
        <w:t xml:space="preserve"/>
      </w:r>
    </w:p>
    <w:p>
      <w:pPr>
        <w:spacing w:after="80" w:before="80"/>
      </w:pPr>
      <w:r>
        <w:rPr>
          <w:rFonts w:ascii="Arial" w:cs="Arial" w:eastAsia="Arial" w:hAnsi="Arial"/>
          <w:color w:val="1A1A1A"/>
          <w:sz w:val="22"/>
          <w:szCs w:val="22"/>
        </w:rPr>
        <w:t xml:space="preserve">Open the row by clicking the pencil icon on the right of the child table row. All fields below must be completed for the sync to operate.</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6"/>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Required</w:t>
            </w:r>
          </w:p>
        </w:tc>
        <w:tc>
          <w:tcPr>
            <w:tcW w:type="dxa" w:w="56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Company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Link to the NestERP Company this row applies to. Must exist before setup.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Username</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Business Cloud login username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Password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Business Cloud login password. Stored encrypted.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API Key</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API key from the Sage developer portal. Stored encrypted.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User Identifier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Sage user identifier. Stored encrypted.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Provider</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OAuth provider string from Sage app registration. Stored encrypted.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Client Type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Always set to 'webapp'. Do not change.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Auth URL</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OAuth authorisation URL from the Sage app registration.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Redirect Back To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URL Sage redirects to after OAuth. Must match exactly what is registered in the Sage OAuth app.</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Tax ID</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client's Sage Tax ID (numeric). Used for SARS reporting.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Use OAuth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Tick if this Sage tenant uses OAuth authentication. Leave unticked for basic auth.</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Default Warehouse</w:t>
            </w:r>
          </w:p>
        </w:tc>
        <w:tc>
          <w:tcPr>
            <w:tcW w:type="dxa" w:w="1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NestERP warehouse where imported SO and PO items will be assigned. Must exist in NestERP and belong to this company.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Sage POS Customer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Only required if the client uses Sage POS. Leave blank otherwise.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Sage POS Customer Name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Only required if the client uses Sage POS. Leave blank otherwise.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Session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Populated automatically after the OAuth handshake. Do not edit manually.</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Apply Account Cleanup on Next Sync</w:t>
            </w:r>
          </w:p>
        </w:tc>
        <w:tc>
          <w:tcPr>
            <w:tcW w:type="dxa" w:w="14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56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Destructive — only tick this when instructed. Removes default accounts on next sync.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Setup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w:t>
            </w:r>
          </w:p>
        </w:tc>
        <w:tc>
          <w:tcPr>
            <w:tcW w:type="dxa" w:w="56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 automatically after first successful account cleanup. Read-only.</w:t>
            </w:r>
          </w:p>
        </w:tc>
      </w:tr>
    </w:tbl>
    <w:p>
      <w:pPr>
        <w:spacing w:after="60" w:before="0"/>
      </w:pPr>
      <w:r>
        <w:t xml:space="preserve"/>
      </w:r>
    </w:p>
    <w:p>
      <w:pPr>
        <w:spacing w:after="60" w:before="0"/>
      </w:pPr>
      <w:r>
        <w:t xml:space="preserve"/>
      </w:r>
    </w:p>
    <w:p>
      <w:r>
        <w:br w:type="page"/>
      </w:r>
    </w:p>
    <w:p>
      <w:pPr>
        <w:pStyle w:val="Heading1"/>
        <w:shd w:fill="1F3864" w:val="clear"/>
        <w:spacing w:after="120" w:before="360"/>
        <w:ind w:left="180" w:right="180"/>
      </w:pPr>
      <w:r>
        <w:rPr>
          <w:rFonts w:ascii="Arial" w:cs="Arial" w:eastAsia="Arial" w:hAnsi="Arial"/>
          <w:b/>
          <w:bCs/>
          <w:color w:val="FFFFFF"/>
          <w:sz w:val="32"/>
          <w:szCs w:val="32"/>
        </w:rPr>
        <w:t xml:space="preserve">4.  First-Time Setup Checklist</w:t>
      </w:r>
    </w:p>
    <w:p>
      <w:pPr>
        <w:spacing w:after="60" w:before="0"/>
      </w:pPr>
      <w:r>
        <w:t xml:space="preserve"/>
      </w:r>
    </w:p>
    <w:p>
      <w:pPr>
        <w:spacing w:after="80" w:before="80"/>
      </w:pPr>
      <w:r>
        <w:rPr>
          <w:rFonts w:ascii="Arial" w:cs="Arial" w:eastAsia="Arial" w:hAnsi="Arial"/>
          <w:color w:val="1A1A1A"/>
          <w:sz w:val="22"/>
          <w:szCs w:val="22"/>
        </w:rPr>
        <w:t xml:space="preserve">Work through each phase in order. Tick each item as you complete it.</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1 — Pre-flight</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NestERP API middleware is deployed and the swagger page loads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Visit /swagger/index.html on the NestERP API URL</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NestERP Company record exists for this client</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Setup → Company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At least one Warehouse exists for the company in NestERP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Stock → Warehouse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Sage credentials are to hand (username, password, API key, provider, auth URL)</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From Sage developer portal / client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Redirect URL is registered in the Sage OAuth app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Must match exactly what you will enter in the row</w:t>
            </w:r>
          </w:p>
        </w:tc>
      </w:tr>
    </w:tbl>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2 — Connection Settings</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the NestERP API base URL in the URL field</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No trailing slash</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Set Last Order Sync Date to the start of the current financial year</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e.g. 2025-03-01</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2"/>
                <w:szCs w:val="22"/>
              </w:rPr>
              <w:t xml:space="preserve">Click Add Row in the Company Sage Integration table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2"/>
                <w:szCs w:val="22"/>
              </w:rPr>
              <w:t xml:space="preserve">Set Company to the NestERP Company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2"/>
                <w:szCs w:val="22"/>
              </w:rPr>
              <w:t xml:space="preserve">Enter Username (Sage email)</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Password</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Stored encrypted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API Key</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Stored encrypted</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User Identifier</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Stored encrypted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Provider</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Stored encrypted</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Set Client Type to 'webapp'</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Do not change this value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Auth URL</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From Sage OAuth app registration</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Redirect Back To URL</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Must match Sage OAuth app exactly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Enter Tax ID (numeric)</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Client's Sage Tax ID</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Tick Use OAuth if applicable</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Leave unticked for basic auth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Set Default Warehouse</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Must belong to the company</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2"/>
                <w:szCs w:val="22"/>
              </w:rPr>
              <w:t xml:space="preserve">Save the Settings page</w:t>
            </w:r>
          </w:p>
        </w:tc>
      </w:tr>
    </w:tbl>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3 — OAuth Handshake</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Click 'Get Authentication Details' button at the top of the page</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This initiates the OAuth flow</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Complete the Sage login in the browser window that opens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Log in with the Sage credentials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you are redirected back to NestERP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The redirect URL must match exactly</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Open the Company Sage Integration row and confirm Session ID is populated</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Click pencil icon to check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2"/>
                <w:szCs w:val="22"/>
              </w:rPr>
              <w:t xml:space="preserve">Save the Settings page again</w:t>
            </w:r>
          </w:p>
        </w:tc>
      </w:tr>
    </w:tbl>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If the redirect fails or Session ID is blank, double-check that the Redirect Back To URL matches what is registered in the Sage OAuth app exactly — including http vs https and any trailing slash.</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4 — Initial Data Pull (Master Data First)</w:t>
      </w:r>
    </w:p>
    <w:p>
      <w:pPr>
        <w:spacing w:after="60" w:before="0"/>
      </w:pPr>
      <w:r>
        <w:t xml:space="preserve"/>
      </w:r>
    </w:p>
    <w:p>
      <w:pPr>
        <w:spacing w:after="80" w:before="80"/>
      </w:pPr>
      <w:r>
        <w:rPr>
          <w:rFonts w:ascii="Arial" w:cs="Arial" w:eastAsia="Arial" w:hAnsi="Arial"/>
          <w:color w:val="1A1A1A"/>
          <w:sz w:val="22"/>
          <w:szCs w:val="22"/>
        </w:rPr>
        <w:t xml:space="preserve">Enable toggles in the order below. Each group should be confirmed before moving to the next.</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Item Categories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Tick and save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Supplier Categories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Tick and save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Customer Categories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Tick and save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Wait one scheduler cycle (~4 minutes) and confirm groups appear in NestERP</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Check Item Group, Supplier Group, Customer Group lists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Suppliers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Requires Supplier Groups to exist first</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Customers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Requires Customer Groups to exist first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2"/>
                <w:szCs w:val="22"/>
              </w:rPr>
              <w:t xml:space="preserve">Wait one scheduler cycle and confirm suppliers and customers appear</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Items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Requires Item Groups to exist first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2"/>
                <w:szCs w:val="22"/>
              </w:rPr>
              <w:t xml:space="preserve">Enable: Pull Price Lists</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Stock-on-hand</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Run after items are imported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Accounts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Imports Sage chart of accounts</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2"/>
                <w:szCs w:val="22"/>
              </w:rPr>
              <w:t xml:space="preserve">Wait for accounts to import, then configure Accounts tab mapping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Sales Orders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Requires customers and warehouses</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Pull Purchase Orders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Requires suppliers and warehouses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SOs and POs appear in NestERP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Check Sales Order and Purchase Order lists</w:t>
            </w:r>
          </w:p>
        </w:tc>
      </w:tr>
    </w:tbl>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5 — Enable Push Triggers</w:t>
      </w:r>
    </w:p>
    <w:p>
      <w:pPr>
        <w:spacing w:after="60" w:before="0"/>
      </w:pPr>
      <w:r>
        <w:t xml:space="preserve"/>
      </w:r>
    </w:p>
    <w:p>
      <w:pPr>
        <w:spacing w:after="80" w:before="80"/>
      </w:pPr>
      <w:r>
        <w:rPr>
          <w:rFonts w:ascii="Arial" w:cs="Arial" w:eastAsia="Arial" w:hAnsi="Arial"/>
          <w:color w:val="1A1A1A"/>
          <w:sz w:val="22"/>
          <w:szCs w:val="22"/>
        </w:rPr>
        <w:t xml:space="preserve">Enable push triggers only after the pull sync has been confirmed working. Enable only the document types the client will be processing through NestERP.</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Sales Order on Submit</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If client raises SOs in NestERP</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Purchase Order on Submit</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If client raises POs in NestERP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Sales Invoice on Submit</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If client invoices through NestERP</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Purchase Invoice on Submit</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If client processes supplier invoices in NestERP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Stock Adjustment on Submit</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For stock movement journals in Sage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Journal Entry on Submit</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For manual journals that must appear in Sage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Test each enabled push by submitting a test document in NestERP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Confirm it appears in Sage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custom_sage_order_id and custom_sage_document_number are stamped on the document</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Check the document's custom fields</w:t>
            </w:r>
          </w:p>
        </w:tc>
      </w:tr>
    </w:tbl>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Phase 6 — Sign-off</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Check Error Log — no unexpected sync errors</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System → Error Log</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Check Scheduled Job Log — all jobs completing without failure</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System → Scheduled Job 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Last Order Sync Date has been updated automatically</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Should now show today's date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Walk client accountant through the Sage ↔ NestERP Accounting Sync Guide</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Hand over the accountant document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client knows: stock items must originate in NestERP</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Service-only invoices may be captured in Sage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client knows: payments and allocations are Sage-only</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NestERP is reconciled monthly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Document the Redirect Back To URL and OAuth app details in the client file</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Critical for site URL changes</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2"/>
                <w:szCs w:val="22"/>
              </w:rPr>
              <w:t xml:space="preserve">Setup complete — hand over to client</w:t>
            </w:r>
          </w:p>
        </w:tc>
      </w:tr>
    </w:tbl>
    <w:p>
      <w:pPr>
        <w:spacing w:after="60" w:before="0"/>
      </w:pPr>
      <w:r>
        <w:t xml:space="preserve"/>
      </w:r>
    </w:p>
    <w:p>
      <w:pPr>
        <w:spacing w:after="60" w:before="0"/>
      </w:pPr>
      <w:r>
        <w:t xml:space="preserve"/>
      </w:r>
    </w:p>
    <w:p>
      <w:r>
        <w:br w:type="page"/>
      </w:r>
    </w:p>
    <w:p>
      <w:pPr>
        <w:pStyle w:val="Heading1"/>
        <w:shd w:fill="1F3864" w:val="clear"/>
        <w:spacing w:after="120" w:before="360"/>
        <w:ind w:left="180" w:right="180"/>
      </w:pPr>
      <w:r>
        <w:rPr>
          <w:rFonts w:ascii="Arial" w:cs="Arial" w:eastAsia="Arial" w:hAnsi="Arial"/>
          <w:b/>
          <w:bCs/>
          <w:color w:val="FFFFFF"/>
          <w:sz w:val="32"/>
          <w:szCs w:val="32"/>
        </w:rPr>
        <w:t xml:space="preserve">5.  Common Issues</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00"/>
        <w:gridCol w:w="643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Symptom</w:t>
            </w:r>
          </w:p>
        </w:tc>
        <w:tc>
          <w:tcPr>
            <w:tcW w:type="dxa" w:w="643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What to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Session ID is blank after OAuth</w:t>
            </w:r>
          </w:p>
        </w:tc>
        <w:tc>
          <w:tcPr>
            <w:tcW w:type="dxa" w:w="64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Redirect Back To URL does not match the Sage OAuth app registration exactly. Check http vs https and trailing slash.</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Sync runs but processes 0 records</w:t>
            </w:r>
          </w:p>
        </w:tc>
        <w:tc>
          <w:tcPr>
            <w:tcW w:type="dxa" w:w="64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the Last Order Sync Date — it may be set to today from a previous run. Reset to an earlier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SO/PO items are being skipped</w:t>
            </w:r>
          </w:p>
        </w:tc>
        <w:tc>
          <w:tcPr>
            <w:tcW w:type="dxa" w:w="64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Error Log for 'SO Proc Err' or 'PO Proc Err' entries. Usually a missing Customer, Supplier, or Item Group.</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Default Warehouse error on SO/PO sync</w:t>
            </w:r>
          </w:p>
        </w:tc>
        <w:tc>
          <w:tcPr>
            <w:tcW w:type="dxa" w:w="64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 the Company Sage Integration row (pencil icon) and confirm Default Warehouse is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Push fails with 'Sage Customer ID missing'</w:t>
            </w:r>
          </w:p>
        </w:tc>
        <w:tc>
          <w:tcPr>
            <w:tcW w:type="dxa" w:w="64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customer in NestERP does not have a custom_sage_customer_id. Run a customer pull first.</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Redirect fails after a site URL change</w:t>
            </w:r>
          </w:p>
        </w:tc>
        <w:tc>
          <w:tcPr>
            <w:tcW w:type="dxa" w:w="64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Update the Redirect Back To field in the integration row AND update the URL in the Sage OAuth app. Re-run the handshake.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Error Log shows 'Config Error — Default Warehouse not set'</w:t>
            </w:r>
          </w:p>
        </w:tc>
        <w:tc>
          <w:tcPr>
            <w:tcW w:type="dxa" w:w="64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 the Default Warehouse field on the Company Sage Integration row (click pencil to open).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0"/>
                <w:szCs w:val="20"/>
              </w:rPr>
              <w:t xml:space="preserve">Customer or Supplier not found on SO/PO import</w:t>
            </w:r>
          </w:p>
        </w:tc>
        <w:tc>
          <w:tcPr>
            <w:tcW w:type="dxa" w:w="643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party may not have been synced yet. Run Pull Customers / Pull Suppliers first, then retry.</w:t>
            </w:r>
          </w:p>
        </w:tc>
      </w:tr>
    </w:tbl>
    <w:p>
      <w:pPr>
        <w:spacing w:after="60" w:before="0"/>
      </w:pPr>
      <w:r>
        <w:t xml:space="preserve"/>
      </w:r>
    </w:p>
    <w:p>
      <w:pPr>
        <w:spacing w:after="60" w:before="0"/>
      </w:pPr>
      <w:r>
        <w:t xml:space="preserve"/>
      </w:r>
    </w:p>
    <w:p>
      <w:r>
        <w:br w:type="page"/>
      </w:r>
    </w:p>
    <w:p>
      <w:pPr>
        <w:pStyle w:val="Heading1"/>
        <w:shd w:fill="1F3864" w:val="clear"/>
        <w:spacing w:after="120" w:before="360"/>
        <w:ind w:left="180" w:right="180"/>
      </w:pPr>
      <w:r>
        <w:rPr>
          <w:rFonts w:ascii="Arial" w:cs="Arial" w:eastAsia="Arial" w:hAnsi="Arial"/>
          <w:b/>
          <w:bCs/>
          <w:color w:val="FFFFFF"/>
          <w:sz w:val="32"/>
          <w:szCs w:val="32"/>
        </w:rPr>
        <w:t xml:space="preserve">6.  Sandbox Approach &amp; Go-Live</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Recommended: Use a Sandbox Site First</w:t>
      </w:r>
    </w:p>
    <w:p>
      <w:pPr>
        <w:spacing w:after="60" w:before="0"/>
      </w:pPr>
      <w:r>
        <w:t xml:space="preserve"/>
      </w:r>
    </w:p>
    <w:p>
      <w:pPr>
        <w:spacing w:after="80" w:before="80"/>
      </w:pPr>
      <w:r>
        <w:rPr>
          <w:rFonts w:ascii="Arial" w:cs="Arial" w:eastAsia="Arial" w:hAnsi="Arial"/>
          <w:color w:val="1A1A1A"/>
          <w:sz w:val="22"/>
          <w:szCs w:val="22"/>
        </w:rPr>
        <w:t xml:space="preserve">For every new client engagement, the recommended approach is to configure and test on a dedicated sandbox Frappe Cloud site before going live. This eliminates the need for a 'reset' function and gives both the consultant and the client a safe environment to validate the integration end-to-end.</w:t>
      </w:r>
    </w:p>
    <w:p>
      <w:pPr>
        <w:spacing w:after="60" w:before="0"/>
      </w:pPr>
      <w:r>
        <w:t xml:space="preserve"/>
      </w:r>
    </w:p>
    <w:p>
      <w:pPr>
        <w:spacing w:after="80" w:before="80"/>
      </w:pPr>
      <w:r>
        <w:rPr>
          <w:rFonts w:ascii="Arial" w:cs="Arial" w:eastAsia="Arial" w:hAnsi="Arial"/>
          <w:color w:val="1A1A1A"/>
          <w:sz w:val="22"/>
          <w:szCs w:val="22"/>
        </w:rPr>
        <w:t xml:space="preserve">The sandbox site is a standard Frappe Cloud instance with the erpnext_sbca app installed. Configure it exactly as described in this guide. The client validates their data, confirms stock values match, and signs off — all without risk to any live system.</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w:tc>
          <w:tcPr>
            <w:tcW w:type="dxa" w:w="481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Sandbox benefits</w:t>
            </w:r>
          </w:p>
        </w:tc>
        <w:tc>
          <w:tcPr>
            <w:tcW w:type="dxa" w:w="4818"/>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1A1A1A"/>
                <w:sz w:val="20"/>
                <w:szCs w:val="20"/>
              </w:rPr>
              <w:t xml:space="preserve">Sandbox limitations</w:t>
            </w:r>
          </w:p>
        </w:tc>
      </w:tr>
      <w:tr>
        <w:tc>
          <w:tcPr>
            <w:tcW w:type="dxa" w:w="481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pStyle w:val="ListParagraph"/>
              <w:numPr>
                <w:ilvl w:val="0"/>
                <w:numId w:val="2"/>
              </w:numPr>
              <w:spacing w:after="60" w:before="60"/>
            </w:pPr>
            <w:r>
              <w:rPr>
                <w:rFonts w:ascii="Arial" w:cs="Arial" w:eastAsia="Arial" w:hAnsi="Arial"/>
                <w:sz w:val="20"/>
                <w:szCs w:val="20"/>
              </w:rPr>
              <w:t xml:space="preserve">Safe to test destructive operations</w:t>
            </w:r>
          </w:p>
          <w:p>
            <w:pPr>
              <w:pStyle w:val="ListParagraph"/>
              <w:numPr>
                <w:ilvl w:val="0"/>
                <w:numId w:val="2"/>
              </w:numPr>
              <w:spacing w:after="60" w:before="60"/>
            </w:pPr>
            <w:r>
              <w:rPr>
                <w:rFonts w:ascii="Arial" w:cs="Arial" w:eastAsia="Arial" w:hAnsi="Arial"/>
                <w:sz w:val="20"/>
                <w:szCs w:val="20"/>
              </w:rPr>
              <w:t xml:space="preserve">Full end-to-end validation before go-live</w:t>
            </w:r>
          </w:p>
          <w:p>
            <w:pPr>
              <w:pStyle w:val="ListParagraph"/>
              <w:numPr>
                <w:ilvl w:val="0"/>
                <w:numId w:val="2"/>
              </w:numPr>
              <w:spacing w:after="60" w:before="60"/>
            </w:pPr>
            <w:r>
              <w:rPr>
                <w:rFonts w:ascii="Arial" w:cs="Arial" w:eastAsia="Arial" w:hAnsi="Arial"/>
                <w:sz w:val="20"/>
                <w:szCs w:val="20"/>
              </w:rPr>
              <w:t xml:space="preserve">Client can train staff without risk</w:t>
            </w:r>
          </w:p>
          <w:p>
            <w:pPr>
              <w:pStyle w:val="ListParagraph"/>
              <w:numPr>
                <w:ilvl w:val="0"/>
                <w:numId w:val="2"/>
              </w:numPr>
              <w:spacing w:after="60" w:before="60"/>
            </w:pPr>
            <w:r>
              <w:rPr>
                <w:rFonts w:ascii="Arial" w:cs="Arial" w:eastAsia="Arial" w:hAnsi="Arial"/>
                <w:sz w:val="20"/>
                <w:szCs w:val="20"/>
              </w:rPr>
              <w:t xml:space="preserve">No reset button needed — site is disposable</w:t>
            </w:r>
          </w:p>
        </w:tc>
        <w:tc>
          <w:tcPr>
            <w:tcW w:type="dxa" w:w="4818"/>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pPr>
              <w:pStyle w:val="ListParagraph"/>
              <w:numPr>
                <w:ilvl w:val="0"/>
                <w:numId w:val="2"/>
              </w:numPr>
              <w:spacing w:after="60" w:before="60"/>
            </w:pPr>
            <w:r>
              <w:rPr>
                <w:rFonts w:ascii="Arial" w:cs="Arial" w:eastAsia="Arial" w:hAnsi="Arial"/>
                <w:sz w:val="20"/>
                <w:szCs w:val="20"/>
              </w:rPr>
              <w:t xml:space="preserve">Additional Frappe Cloud site cost</w:t>
            </w:r>
          </w:p>
          <w:p>
            <w:pPr>
              <w:pStyle w:val="ListParagraph"/>
              <w:numPr>
                <w:ilvl w:val="0"/>
                <w:numId w:val="2"/>
              </w:numPr>
              <w:spacing w:after="60" w:before="60"/>
            </w:pPr>
            <w:r>
              <w:rPr>
                <w:rFonts w:ascii="Arial" w:cs="Arial" w:eastAsia="Arial" w:hAnsi="Arial"/>
                <w:sz w:val="20"/>
                <w:szCs w:val="20"/>
              </w:rPr>
              <w:t xml:space="preserve">Go-live requires re-running the pull syncs</w:t>
            </w:r>
          </w:p>
        </w:tc>
      </w:tr>
    </w:tbl>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Going Live — Switchover Process</w:t>
      </w:r>
    </w:p>
    <w:p>
      <w:pPr>
        <w:spacing w:after="60" w:before="0"/>
      </w:pPr>
      <w:r>
        <w:t xml:space="preserve"/>
      </w:r>
    </w:p>
    <w:p>
      <w:pPr>
        <w:spacing w:after="80" w:before="80"/>
      </w:pPr>
      <w:r>
        <w:rPr>
          <w:rFonts w:ascii="Arial" w:cs="Arial" w:eastAsia="Arial" w:hAnsi="Arial"/>
          <w:color w:val="1A1A1A"/>
          <w:sz w:val="22"/>
          <w:szCs w:val="22"/>
        </w:rPr>
        <w:t xml:space="preserve">When the client is ready to go live, the switchover is straightforward. The sync toggles and all settings remain in place. Only the Company Sage Integration row needs attention.</w:t>
      </w:r>
    </w:p>
    <w:p>
      <w:pPr>
        <w:spacing w:after="60" w:before="0"/>
      </w:pPr>
      <w:r>
        <w:t xml:space="preserve"/>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956"/>
      </w:tblGrid>
      <w:tr>
        <w:tc>
          <w:tcPr>
            <w:tcW w:type="dxa" w:w="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95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Provision the live Frappe Cloud site with erpnext_sbca installed</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Fresh site — clean NestERP data</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Copy all Settings toggle configuration from the sandbox</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Toggles, NestERP API URL, Last Order Sync Date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Add a new Company Sage Integration row for the live NestERP Company</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Use the client's live Sage credentials</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Complete the OAuth handshake for the live company row</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Same process as initial setup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Set the Default Warehouse for the live company row</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Must exist in the live NestERP site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Re-run all pull syncs in the correct order (same as Phase 4)</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Categories → Suppliers/Customers → Items → Prices → Stock → Orders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Run the Opening Stock import for the live company</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Confirm stock value matches Sage</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val="false"/>
                <w:bCs w:val="false"/>
                <w:color w:val="1A1A1A"/>
                <w:sz w:val="22"/>
                <w:szCs w:val="22"/>
              </w:rPr>
              <w:t xml:space="preserve">Enable push triggers</w:t>
            </w:r>
          </w:p>
        </w:tc>
        <w:tc>
          <w:tcPr>
            <w:tcW w:type="dxa" w:w="39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i/>
                <w:iCs/>
                <w:color w:val="555555"/>
                <w:sz w:val="20"/>
                <w:szCs w:val="20"/>
              </w:rPr>
              <w:t xml:space="preserve">Same as Phase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2"/>
                <w:szCs w:val="22"/>
              </w:rPr>
              <w:t xml:space="preserve">Confirm first live SO or PO pushes to Sage successfully</w:t>
            </w:r>
          </w:p>
        </w:tc>
        <w:tc>
          <w:tcPr>
            <w:tcW w:type="dxa" w:w="39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555555"/>
                <w:sz w:val="20"/>
                <w:szCs w:val="20"/>
              </w:rPr>
              <w:t xml:space="preserve">End-to-end test on live data</w:t>
            </w:r>
          </w:p>
        </w:tc>
      </w:tr>
      <w:tr>
        <w:tc>
          <w:tcPr>
            <w:tcW w:type="dxa" w:w="48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vAlign w:val="center"/>
          </w:tcPr>
          <w:p>
            <w:pPr>
              <w:jc w:val="center"/>
            </w:pPr>
            <w:r>
              <w:rPr>
                <w:rFonts w:ascii="Arial" w:cs="Arial" w:eastAsia="Arial" w:hAnsi="Arial"/>
                <w:sz w:val="24"/>
                <w:szCs w:val="24"/>
              </w:rPr>
              <w:t xml:space="preserve">☐</w:t>
            </w:r>
          </w:p>
        </w:tc>
        <w:tc>
          <w:tcPr>
            <w:tcW w:type="dxa" w:w="9156"/>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color w:val="1A1A1A"/>
                <w:sz w:val="22"/>
                <w:szCs w:val="22"/>
              </w:rPr>
              <w:t xml:space="preserve">Decommission or archive the sandbox site</w:t>
            </w:r>
          </w:p>
        </w:tc>
      </w:tr>
    </w:tbl>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Important: All custom Sage ID fields (custom_sage_customer_id, custom_sage_order_id, etc.) on items, customers, and suppliers are overwritten when the pull syncs re-run on the live site. This is expected — the live Sage account will have different internal IDs to the sandbox Sage account. Confirm the pull syncs complete fully before enabling any push triggers.</w:t>
      </w:r>
    </w:p>
    <w:p>
      <w:pPr>
        <w:spacing w:after="60" w:before="0"/>
      </w:pPr>
      <w:r>
        <w:t xml:space="preserve"/>
      </w:r>
    </w:p>
    <w:p>
      <w:pPr>
        <w:pStyle w:val="Heading2"/>
        <w:pBdr>
          <w:bottom w:val="single" w:color="5B8DB8" w:sz="4" w:space="4"/>
        </w:pBdr>
        <w:spacing w:after="100" w:before="280"/>
      </w:pPr>
      <w:r>
        <w:rPr>
          <w:rFonts w:ascii="Arial" w:cs="Arial" w:eastAsia="Arial" w:hAnsi="Arial"/>
          <w:b/>
          <w:bCs/>
          <w:color w:val="1F3864"/>
          <w:sz w:val="26"/>
          <w:szCs w:val="26"/>
        </w:rPr>
        <w:t xml:space="preserve">Site URL Changes After Go-Live</w:t>
      </w:r>
    </w:p>
    <w:p>
      <w:pPr>
        <w:spacing w:after="60" w:before="0"/>
      </w:pPr>
      <w:r>
        <w:t xml:space="preserve"/>
      </w:r>
    </w:p>
    <w:p>
      <w:pPr>
        <w:spacing w:after="80" w:before="80"/>
      </w:pPr>
      <w:r>
        <w:rPr>
          <w:rFonts w:ascii="Arial" w:cs="Arial" w:eastAsia="Arial" w:hAnsi="Arial"/>
          <w:color w:val="1A1A1A"/>
          <w:sz w:val="22"/>
          <w:szCs w:val="22"/>
        </w:rPr>
        <w:t xml:space="preserve">If the live site URL ever changes (for example, moving from a Frappe Cloud subdomain to a custom domain), two things must be updated:</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Update the Redirect Back To field in the Company Sage Integration row to the new URL.</w:t>
      </w:r>
    </w:p>
    <w:p>
      <w:pPr>
        <w:pStyle w:val="ListParagraph"/>
        <w:numPr>
          <w:ilvl w:val="0"/>
          <w:numId w:val="2"/>
        </w:numPr>
        <w:spacing w:after="60" w:before="60"/>
      </w:pPr>
      <w:r>
        <w:rPr>
          <w:rFonts w:ascii="Arial" w:cs="Arial" w:eastAsia="Arial" w:hAnsi="Arial"/>
          <w:b w:val="false"/>
          <w:bCs w:val="false"/>
          <w:color w:val="1A1A1A"/>
          <w:sz w:val="22"/>
          <w:szCs w:val="22"/>
        </w:rPr>
        <w:t xml:space="preserve">Update the registered redirect URL in the Sage OAuth app to match.</w:t>
      </w:r>
    </w:p>
    <w:p>
      <w:pPr>
        <w:pStyle w:val="ListParagraph"/>
        <w:numPr>
          <w:ilvl w:val="0"/>
          <w:numId w:val="2"/>
        </w:numPr>
        <w:spacing w:after="60" w:before="60"/>
      </w:pPr>
      <w:r>
        <w:rPr>
          <w:rFonts w:ascii="Arial" w:cs="Arial" w:eastAsia="Arial" w:hAnsi="Arial"/>
          <w:b w:val="false"/>
          <w:bCs w:val="false"/>
          <w:color w:val="1A1A1A"/>
          <w:sz w:val="22"/>
          <w:szCs w:val="22"/>
        </w:rPr>
        <w:t xml:space="preserve">Re-run the OAuth handshake — the existing Session ID will be invalid after the URL change.</w:t>
      </w:r>
    </w:p>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Failure to update both locations will cause the OAuth handshake to fail silently. The Session ID will remain stale and all syncs will fail with authentication errors.</w:t>
      </w:r>
    </w:p>
    <w:p>
      <w:pPr>
        <w:spacing w:after="60" w:before="0"/>
      </w:pPr>
      <w:r>
        <w:t xml:space="preserve"/>
      </w:r>
    </w:p>
    <w:p>
      <w:pPr>
        <w:spacing w:after="60" w:before="0"/>
      </w:pPr>
      <w:r>
        <w:t xml:space="preserve"/>
      </w:r>
    </w:p>
    <w:p>
      <w:pPr>
        <w:shd w:fill="D6E4F0" w:val="clear"/>
        <w:spacing w:after="120" w:before="120"/>
        <w:ind w:left="280" w:right="280"/>
      </w:pPr>
      <w:r>
        <w:rPr>
          <w:rFonts w:ascii="Arial" w:cs="Arial" w:eastAsia="Arial" w:hAnsi="Arial"/>
          <w:i/>
          <w:iCs/>
          <w:color w:val="1F3864"/>
          <w:sz w:val="20"/>
          <w:szCs w:val="20"/>
        </w:rPr>
        <w:t xml:space="preserve">For support during setup contact your Syncflo implementation consultant. Do not modify the Scheduled Job Types or attempt to re-install the app without guidance — the integration state is stored in the Settings document and will be lost on re-install.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8DB8" w:sz="4" w:space="4"/>
      </w:pBdr>
      <w:tabs>
        <w:tab w:val="right" w:pos="9026"/>
      </w:tabs>
    </w:pPr>
    <w:r>
      <w:rPr>
        <w:rFonts w:ascii="Arial" w:cs="Arial" w:eastAsia="Arial" w:hAnsi="Arial"/>
        <w:color w:val="999999"/>
        <w:sz w:val="16"/>
        <w:szCs w:val="16"/>
      </w:rPr>
      <w:t xml:space="preserve">Prepared by Syncflo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8DB8" w:sz="4" w:space="4"/>
      </w:pBdr>
      <w:tabs>
        <w:tab w:val="right" w:pos="9026"/>
      </w:tabs>
    </w:pPr>
    <w:r>
      <w:rPr>
        <w:rFonts w:ascii="Arial" w:cs="Arial" w:eastAsia="Arial" w:hAnsi="Arial"/>
        <w:color w:val="5B8DB8"/>
        <w:sz w:val="18"/>
        <w:szCs w:val="18"/>
      </w:rPr>
      <w:t xml:space="preserve">NestERP SBCA — New Client Setup Guide</w:t>
    </w:r>
    <w:r>
      <w:rPr>
        <w:rFonts w:ascii="Arial" w:cs="Arial" w:eastAsia="Arial" w:hAnsi="Arial"/>
        <w:color w:val="5B8DB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nest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2026-05-15T06:07:16.230Z</dcterms:created>
  <dcterms:modified xsi:type="dcterms:W3CDTF">2026-05-15T06:07:16.230Z</dcterms:modified>
</cp:coreProperties>
</file>

<file path=docProps/custom.xml><?xml version="1.0" encoding="utf-8"?>
<Properties xmlns="http://schemas.openxmlformats.org/officeDocument/2006/custom-properties" xmlns:vt="http://schemas.openxmlformats.org/officeDocument/2006/docPropsVTypes"/>
</file>