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color="auto" w:val="clear"/>
        <w:spacing w:after="0" w:before="280"/>
        <w:jc w:val="center"/>
      </w:pPr>
      <w:r>
        <w:rPr>
          <w:noProof/>
        </w:rPr>
        <w:drawing>
          <wp:inline distT="0" distB="0" distL="0" distR="0">
            <wp:extent cx="731520" cy="585216"/>
            <wp:effectExtent l="0" t="0" r="0" b="0"/>
            <wp:docPr id="100" name="Nest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NestERP Logo"/>
                    <pic:cNvPicPr/>
                  </pic:nvPicPr>
                  <pic:blipFill>
                    <a:blip r:embed="rId10"/>
                    <a:stretch>
                      <a:fillRect/>
                    </a:stretch>
                  </pic:blipFill>
                  <pic:spPr>
                    <a:xfrm>
                      <a:off x="0" y="0"/>
                      <a:ext cx="731520" cy="585216"/>
                    </a:xfrm>
                    <a:prstGeom prst="rect">
                      <a:avLst/>
                    </a:prstGeom>
                  </pic:spPr>
                </pic:pic>
              </a:graphicData>
            </a:graphic>
          </wp:inline>
        </w:drawing>
      </w:r>
    </w:p>
    <w:p>
      <w:pPr>
        <w:shd w:fill="1F3864" w:color="auto" w:val="clear"/>
        <w:spacing w:after="0" w:before="280"/>
        <w:jc w:val="center"/>
      </w:pPr>
      <w:r>
        <w:rPr>
          <w:rFonts w:ascii="Arial" w:cs="Arial" w:eastAsia="Arial" w:hAnsi="Arial"/>
          <w:b/>
          <w:bCs/>
          <w:i w:val="false"/>
          <w:iCs w:val="false"/>
          <w:color w:val="FFFFFF"/>
          <w:sz w:val="52"/>
          <w:szCs w:val="52"/>
        </w:rPr>
        <w:t xml:space="preserve">Sage ↔ NestERP</w:t>
      </w:r>
    </w:p>
    <w:p>
      <w:pPr>
        <w:shd w:fill="1F3864" w:color="auto" w:val="clear"/>
        <w:spacing w:after="0" w:before="100"/>
        <w:jc w:val="center"/>
      </w:pPr>
      <w:r>
        <w:rPr>
          <w:rFonts w:ascii="Arial" w:cs="Arial" w:eastAsia="Arial" w:hAnsi="Arial"/>
          <w:b w:val="false"/>
          <w:bCs w:val="false"/>
          <w:i w:val="false"/>
          <w:iCs w:val="false"/>
          <w:color w:val="D6E4F0"/>
          <w:sz w:val="32"/>
          <w:szCs w:val="32"/>
        </w:rPr>
        <w:t xml:space="preserve">Accounting Synchronisation Guide</w:t>
      </w:r>
    </w:p>
    <w:p>
      <w:pPr>
        <w:shd w:fill="1F3864" w:color="auto" w:val="clear"/>
        <w:spacing w:after="280" w:before="60"/>
        <w:jc w:val="center"/>
      </w:pPr>
      <w:r>
        <w:rPr>
          <w:rFonts w:ascii="Arial" w:cs="Arial" w:eastAsia="Arial" w:hAnsi="Arial"/>
          <w:b w:val="false"/>
          <w:bCs w:val="false"/>
          <w:i/>
          <w:iCs/>
          <w:color w:val="D6E4F0"/>
          <w:sz w:val="22"/>
          <w:szCs w:val="22"/>
        </w:rPr>
        <w:t xml:space="preserve">How the two systems fit together — a complete reference for accountants and financial managers</w:t>
      </w:r>
    </w:p>
    <w:p>
      <w:pPr>
        <w:shd w:fill="1F3864" w:color="auto" w:val="clear"/>
        <w:spacing w:after="120" w:before="360"/>
        <w:ind w:left="180" w:right="180"/>
      </w:pPr>
      <w:r>
        <w:rPr>
          <w:rFonts w:ascii="Arial" w:cs="Arial" w:eastAsia="Arial" w:hAnsi="Arial"/>
          <w:b/>
          <w:bCs/>
          <w:color w:val="FFFFFF"/>
          <w:sz w:val="32"/>
          <w:szCs w:val="32"/>
        </w:rPr>
        <w:t xml:space="preserve">1. The Big Picture</w:t>
      </w:r>
    </w:p>
    <w:p>
      <w:pPr>
        <w:spacing w:after="80" w:before="80"/>
      </w:pPr>
      <w:r>
        <w:rPr>
          <w:rFonts w:ascii="Arial" w:cs="Arial" w:eastAsia="Arial" w:hAnsi="Arial"/>
          <w:color w:val="1A1A1A"/>
          <w:sz w:val="22"/>
          <w:szCs w:val="22"/>
        </w:rPr>
        <w:t xml:space="preserve">Your finance system is two platforms working as one. NestERP is where the business operates — sales orders, purchase orders, invoices, stock and manufacturing. Sage Business Cloud Accounting is the financial ledger — it holds the statutory books, the VAT, and every customer and supplier payment.</w:t>
      </w:r>
    </w:p>
    <w:p>
      <w:pPr>
        <w:spacing w:after="80" w:before="80"/>
      </w:pPr>
      <w:r>
        <w:rPr>
          <w:rFonts w:ascii="Arial" w:cs="Arial" w:eastAsia="Arial" w:hAnsi="Arial"/>
          <w:color w:val="1A1A1A"/>
          <w:sz w:val="22"/>
          <w:szCs w:val="22"/>
        </w:rPr>
        <w:t xml:space="preserve">An integration layer — called NestERP API — runs constantly in the background, passing information between the two so that nothing has to be captured twice. The rule of thumb: operational documents are created in NestERP and flow to Sage; the financial ledger, payments and tax live in Sage; and once a month NestERP’s customer and supplier balances are brought back into line with 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CCCCC" w:sz="1"/>
              <w:left w:val="single" w:color="CCCCCC" w:sz="1"/>
              <w:bottom w:val="single" w:color="CCCCCC" w:sz="1"/>
              <w:right w:val="single" w:color="CCCCCC" w:sz="1"/>
            </w:tcBorders>
            <w:shd w:fill="1F3864" w:color="auto" w:val="clear"/>
            <w:tcMar>
              <w:top w:type="dxa" w:w="80"/>
              <w:left w:type="dxa" w:w="140"/>
              <w:bottom w:type="dxa" w:w="80"/>
              <w:right w:type="dxa" w:w="140"/>
            </w:tcMar>
            <w:vAlign w:val="center"/>
          </w:tcPr>
          <w:p>
            <w:r>
              <w:rPr>
                <w:rFonts w:ascii="Arial" w:cs="Arial" w:eastAsia="Arial" w:hAnsi="Arial"/>
                <w:b/>
                <w:bCs/>
                <w:color w:val="FFFFFF"/>
                <w:sz w:val="20"/>
                <w:szCs w:val="20"/>
              </w:rPr>
              <w:t xml:space="preserve">Sage Business Cloud Accounting</w:t>
            </w:r>
          </w:p>
        </w:tc>
        <w:tc>
          <w:tcPr>
            <w:tcW w:type="dxa" w:w="4819"/>
            <w:tcBorders>
              <w:top w:val="single" w:color="CCCCCC" w:sz="1"/>
              <w:left w:val="single" w:color="CCCCCC" w:sz="1"/>
              <w:bottom w:val="single" w:color="CCCCCC" w:sz="1"/>
              <w:right w:val="single" w:color="CCCCCC" w:sz="1"/>
            </w:tcBorders>
            <w:shd w:fill="1F3864" w:color="auto" w:val="clear"/>
            <w:tcMar>
              <w:top w:type="dxa" w:w="80"/>
              <w:left w:type="dxa" w:w="140"/>
              <w:bottom w:type="dxa" w:w="80"/>
              <w:right w:type="dxa" w:w="140"/>
            </w:tcMar>
            <w:vAlign w:val="center"/>
          </w:tcPr>
          <w:p>
            <w:r>
              <w:rPr>
                <w:rFonts w:ascii="Arial" w:cs="Arial" w:eastAsia="Arial" w:hAnsi="Arial"/>
                <w:b/>
                <w:bCs/>
                <w:color w:val="FFFFFF"/>
                <w:sz w:val="20"/>
                <w:szCs w:val="20"/>
              </w:rPr>
              <w:t xml:space="preserve">NestERP</w:t>
            </w:r>
          </w:p>
        </w:tc>
      </w:tr>
      <w:tr>
        <w:tc>
          <w:tcPr>
            <w:tcW w:type="dxa" w:w="4819"/>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The statutory accounting ledger. All VAT, SARS submissions, and tax periods live here. Supplier and customer payments are captured and allocated in Sage.</w:t>
            </w:r>
          </w:p>
        </w:tc>
        <w:tc>
          <w:tcPr>
            <w:tcW w:type="dxa" w:w="4819"/>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The operational hub. Stock management, purchase and sales order processing, manufacturing, and management reporting all run in NestERP.</w:t>
            </w:r>
          </w:p>
        </w:tc>
      </w:tr>
      <w:tr>
        <w:tc>
          <w:tcPr>
            <w:tcW w:type="dxa" w:w="4819"/>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bCs/>
                <w:color w:val="1A1A1A"/>
                <w:sz w:val="20"/>
                <w:szCs w:val="20"/>
              </w:rPr>
              <w:t xml:space="preserve">The financial record of truth.</w:t>
            </w:r>
          </w:p>
        </w:tc>
        <w:tc>
          <w:tcPr>
            <w:tcW w:type="dxa" w:w="4819"/>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bCs/>
                <w:color w:val="1A1A1A"/>
                <w:sz w:val="20"/>
                <w:szCs w:val="20"/>
              </w:rPr>
              <w:t xml:space="preserve">The operational record of truth.</w:t>
            </w:r>
          </w:p>
        </w:tc>
      </w:tr>
    </w:tbl>
    <w:p>
      <w:pPr>
        <w:shd w:fill="D6E4F0" w:color="auto" w:val="clear"/>
        <w:spacing w:after="120" w:before="120"/>
        <w:ind w:left="360" w:right="360"/>
      </w:pPr>
      <w:r>
        <w:rPr>
          <w:rFonts w:ascii="Arial" w:cs="Arial" w:eastAsia="Arial" w:hAnsi="Arial"/>
          <w:i/>
          <w:iCs/>
          <w:color w:val="1F3864"/>
          <w:sz w:val="20"/>
          <w:szCs w:val="20"/>
        </w:rPr>
        <w:t xml:space="preserve">The short version: create each transaction once, in the system that owns it. The integration keeps the other side up to date.</w:t>
      </w:r>
    </w:p>
    <w:p>
      <w:pPr>
        <w:shd w:fill="1F3864" w:color="auto" w:val="clear"/>
        <w:spacing w:after="120" w:before="360"/>
        <w:ind w:left="180" w:right="180"/>
      </w:pPr>
      <w:r>
        <w:rPr>
          <w:rFonts w:ascii="Arial" w:cs="Arial" w:eastAsia="Arial" w:hAnsi="Arial"/>
          <w:b/>
          <w:bCs/>
          <w:color w:val="FFFFFF"/>
          <w:sz w:val="32"/>
          <w:szCs w:val="32"/>
        </w:rPr>
        <w:t xml:space="preserve">2. Who Owns the Truth</w:t>
      </w:r>
    </w:p>
    <w:p>
      <w:pPr>
        <w:spacing w:after="80" w:before="80"/>
      </w:pPr>
      <w:r>
        <w:rPr>
          <w:rFonts w:ascii="Arial" w:cs="Arial" w:eastAsia="Arial" w:hAnsi="Arial"/>
          <w:color w:val="1A1A1A"/>
          <w:sz w:val="22"/>
          <w:szCs w:val="22"/>
        </w:rPr>
        <w:t xml:space="preserve">When both systems hold the same kind of information, one of them is the authority. This is the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50"/>
        <w:gridCol w:w="4188"/>
        <w:gridCol w:w="2000"/>
      </w:tblGrid>
      <w:tr>
        <w:trPr>
          <w:tblHeader/>
        </w:trPr>
        <w:tc>
          <w:tcPr>
            <w:tcW w:type="dxa" w:w="3450"/>
            <w:tcBorders>
              <w:top w:val="single" w:color="CCCCCC" w:sz="1"/>
              <w:left w:val="single" w:color="CCCCCC" w:sz="1"/>
              <w:bottom w:val="single" w:color="CCCCCC" w:sz="1"/>
              <w:right w:val="single" w:color="CCCCCC" w:sz="1"/>
            </w:tcBorders>
            <w:shd w:fill="1F3864" w:color="auto" w:val="clear"/>
            <w:tcMar>
              <w:top w:type="dxa" w:w="80"/>
              <w:left w:type="dxa" w:w="140"/>
              <w:bottom w:type="dxa" w:w="80"/>
              <w:right w:type="dxa" w:w="140"/>
            </w:tcMar>
            <w:vAlign w:val="center"/>
          </w:tcPr>
          <w:p>
            <w:r>
              <w:rPr>
                <w:rFonts w:ascii="Arial" w:cs="Arial" w:eastAsia="Arial" w:hAnsi="Arial"/>
                <w:b/>
                <w:bCs/>
                <w:color w:val="FFFFFF"/>
                <w:sz w:val="20"/>
                <w:szCs w:val="20"/>
              </w:rPr>
              <w:t xml:space="preserve">Concern</w:t>
            </w:r>
          </w:p>
        </w:tc>
        <w:tc>
          <w:tcPr>
            <w:tcW w:type="dxa" w:w="4188"/>
            <w:tcBorders>
              <w:top w:val="single" w:color="CCCCCC" w:sz="1"/>
              <w:left w:val="single" w:color="CCCCCC" w:sz="1"/>
              <w:bottom w:val="single" w:color="CCCCCC" w:sz="1"/>
              <w:right w:val="single" w:color="CCCCCC" w:sz="1"/>
            </w:tcBorders>
            <w:shd w:fill="1F3864" w:color="auto" w:val="clear"/>
            <w:tcMar>
              <w:top w:type="dxa" w:w="80"/>
              <w:left w:type="dxa" w:w="140"/>
              <w:bottom w:type="dxa" w:w="80"/>
              <w:right w:type="dxa" w:w="140"/>
            </w:tcMar>
            <w:vAlign w:val="center"/>
          </w:tcPr>
          <w:p>
            <w:r>
              <w:rPr>
                <w:rFonts w:ascii="Arial" w:cs="Arial" w:eastAsia="Arial" w:hAnsi="Arial"/>
                <w:b/>
                <w:bCs/>
                <w:color w:val="FFFFFF"/>
                <w:sz w:val="20"/>
                <w:szCs w:val="20"/>
              </w:rPr>
              <w:t xml:space="preserve">Source of truth</w:t>
            </w:r>
          </w:p>
        </w:tc>
        <w:tc>
          <w:tcPr>
            <w:tcW w:type="dxa" w:w="2000"/>
            <w:tcBorders>
              <w:top w:val="single" w:color="CCCCCC" w:sz="1"/>
              <w:left w:val="single" w:color="CCCCCC" w:sz="1"/>
              <w:bottom w:val="single" w:color="CCCCCC" w:sz="1"/>
              <w:right w:val="single" w:color="CCCCCC" w:sz="1"/>
            </w:tcBorders>
            <w:shd w:fill="1F3864" w:color="auto" w:val="clear"/>
            <w:tcMar>
              <w:top w:type="dxa" w:w="80"/>
              <w:left w:type="dxa" w:w="140"/>
              <w:bottom w:type="dxa" w:w="80"/>
              <w:right w:type="dxa" w:w="140"/>
            </w:tcMar>
            <w:vAlign w:val="center"/>
          </w:tcPr>
          <w:p>
            <w:r>
              <w:rPr>
                <w:rFonts w:ascii="Arial" w:cs="Arial" w:eastAsia="Arial" w:hAnsi="Arial"/>
                <w:b/>
                <w:bCs/>
                <w:color w:val="FFFFFF"/>
                <w:sz w:val="20"/>
                <w:szCs w:val="20"/>
              </w:rPr>
              <w:t xml:space="preserve">Where you work</w:t>
            </w:r>
          </w:p>
        </w:tc>
      </w:tr>
      <w:tr>
        <w:tc>
          <w:tcPr>
            <w:tcW w:type="dxa" w:w="345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bCs/>
                <w:color w:val="1A1A1A"/>
                <w:sz w:val="20"/>
                <w:szCs w:val="20"/>
              </w:rPr>
              <w:t xml:space="preserve">Sales &amp; purchase invoices</w:t>
            </w:r>
          </w:p>
        </w:tc>
        <w:tc>
          <w:tcPr>
            <w:tcW w:type="dxa" w:w="4188"/>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Created in NestERP; posted to Sage as the financial record</w:t>
            </w:r>
          </w:p>
        </w:tc>
        <w:tc>
          <w:tcPr>
            <w:tcW w:type="dxa" w:w="200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NestERP</w:t>
            </w:r>
          </w:p>
        </w:tc>
      </w:tr>
      <w:tr>
        <w:tc>
          <w:tcPr>
            <w:tcW w:type="dxa" w:w="345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bCs/>
                <w:color w:val="1A1A1A"/>
                <w:sz w:val="20"/>
                <w:szCs w:val="20"/>
              </w:rPr>
              <w:t xml:space="preserve">Sales &amp; purchase orders</w:t>
            </w:r>
          </w:p>
        </w:tc>
        <w:tc>
          <w:tcPr>
            <w:tcW w:type="dxa" w:w="4188"/>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Created in NestERP; sent to Sage; cancellations synced</w:t>
            </w:r>
          </w:p>
        </w:tc>
        <w:tc>
          <w:tcPr>
            <w:tcW w:type="dxa" w:w="200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NestERP</w:t>
            </w:r>
          </w:p>
        </w:tc>
      </w:tr>
      <w:tr>
        <w:tc>
          <w:tcPr>
            <w:tcW w:type="dxa" w:w="345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bCs/>
                <w:color w:val="1A1A1A"/>
                <w:sz w:val="20"/>
                <w:szCs w:val="20"/>
              </w:rPr>
              <w:t xml:space="preserve">Stock, inventory and manufacturing</w:t>
            </w:r>
          </w:p>
        </w:tc>
        <w:tc>
          <w:tcPr>
            <w:tcW w:type="dxa" w:w="4188"/>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NestERP</w:t>
            </w:r>
          </w:p>
        </w:tc>
        <w:tc>
          <w:tcPr>
            <w:tcW w:type="dxa" w:w="200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NestERP</w:t>
            </w:r>
          </w:p>
        </w:tc>
      </w:tr>
      <w:tr>
        <w:tc>
          <w:tcPr>
            <w:tcW w:type="dxa" w:w="345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bCs/>
                <w:color w:val="1A1A1A"/>
                <w:sz w:val="20"/>
                <w:szCs w:val="20"/>
              </w:rPr>
              <w:t xml:space="preserve">Customer receipts &amp; supplier payments</w:t>
            </w:r>
          </w:p>
        </w:tc>
        <w:tc>
          <w:tcPr>
            <w:tcW w:type="dxa" w:w="4188"/>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Sage</w:t>
            </w:r>
          </w:p>
        </w:tc>
        <w:tc>
          <w:tcPr>
            <w:tcW w:type="dxa" w:w="200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Sage</w:t>
            </w:r>
          </w:p>
        </w:tc>
      </w:tr>
      <w:tr>
        <w:tc>
          <w:tcPr>
            <w:tcW w:type="dxa" w:w="345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bCs/>
                <w:color w:val="1A1A1A"/>
                <w:sz w:val="20"/>
                <w:szCs w:val="20"/>
              </w:rPr>
              <w:t xml:space="preserve">Credit notes, allocations, contra entries</w:t>
            </w:r>
          </w:p>
        </w:tc>
        <w:tc>
          <w:tcPr>
            <w:tcW w:type="dxa" w:w="4188"/>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Sage</w:t>
            </w:r>
          </w:p>
        </w:tc>
        <w:tc>
          <w:tcPr>
            <w:tcW w:type="dxa" w:w="200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Sage</w:t>
            </w:r>
          </w:p>
        </w:tc>
      </w:tr>
      <w:tr>
        <w:tc>
          <w:tcPr>
            <w:tcW w:type="dxa" w:w="345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bCs/>
                <w:color w:val="1A1A1A"/>
                <w:sz w:val="20"/>
                <w:szCs w:val="20"/>
              </w:rPr>
              <w:t xml:space="preserve">VAT, tax periods, SARS submissions</w:t>
            </w:r>
          </w:p>
        </w:tc>
        <w:tc>
          <w:tcPr>
            <w:tcW w:type="dxa" w:w="4188"/>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Sage</w:t>
            </w:r>
          </w:p>
        </w:tc>
        <w:tc>
          <w:tcPr>
            <w:tcW w:type="dxa" w:w="200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Sage</w:t>
            </w:r>
          </w:p>
        </w:tc>
      </w:tr>
      <w:tr>
        <w:tc>
          <w:tcPr>
            <w:tcW w:type="dxa" w:w="345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bCs/>
                <w:color w:val="1A1A1A"/>
                <w:sz w:val="20"/>
                <w:szCs w:val="20"/>
              </w:rPr>
              <w:t xml:space="preserve">Bank accounts &amp; bank reconciliation</w:t>
            </w:r>
          </w:p>
        </w:tc>
        <w:tc>
          <w:tcPr>
            <w:tcW w:type="dxa" w:w="4188"/>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Sage</w:t>
            </w:r>
          </w:p>
        </w:tc>
        <w:tc>
          <w:tcPr>
            <w:tcW w:type="dxa" w:w="200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Sage</w:t>
            </w:r>
          </w:p>
        </w:tc>
      </w:tr>
      <w:tr>
        <w:tc>
          <w:tcPr>
            <w:tcW w:type="dxa" w:w="345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bCs/>
                <w:color w:val="1A1A1A"/>
                <w:sz w:val="20"/>
                <w:szCs w:val="20"/>
              </w:rPr>
              <w:t xml:space="preserve">Chart of accounts</w:t>
            </w:r>
          </w:p>
        </w:tc>
        <w:tc>
          <w:tcPr>
            <w:tcW w:type="dxa" w:w="4188"/>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Sage (mirrored into NestERP)</w:t>
            </w:r>
          </w:p>
        </w:tc>
        <w:tc>
          <w:tcPr>
            <w:tcW w:type="dxa" w:w="200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Sage</w:t>
            </w:r>
          </w:p>
        </w:tc>
      </w:tr>
      <w:tr>
        <w:tc>
          <w:tcPr>
            <w:tcW w:type="dxa" w:w="345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bCs/>
                <w:color w:val="1A1A1A"/>
                <w:sz w:val="20"/>
                <w:szCs w:val="20"/>
              </w:rPr>
              <w:t xml:space="preserve">Customer &amp; supplier master and categories</w:t>
            </w:r>
          </w:p>
        </w:tc>
        <w:tc>
          <w:tcPr>
            <w:tcW w:type="dxa" w:w="4188"/>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Sage (mirrored into NestERP)</w:t>
            </w:r>
          </w:p>
        </w:tc>
        <w:tc>
          <w:tcPr>
            <w:tcW w:type="dxa" w:w="200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Sage</w:t>
            </w:r>
          </w:p>
        </w:tc>
      </w:tr>
      <w:tr>
        <w:tc>
          <w:tcPr>
            <w:tcW w:type="dxa" w:w="345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bCs/>
                <w:color w:val="1A1A1A"/>
                <w:sz w:val="20"/>
                <w:szCs w:val="20"/>
              </w:rPr>
              <w:t xml:space="preserve">Month-end debtor &amp; creditor balances</w:t>
            </w:r>
          </w:p>
        </w:tc>
        <w:tc>
          <w:tcPr>
            <w:tcW w:type="dxa" w:w="4188"/>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Sage — NestERP aligned to it each month</w:t>
            </w:r>
          </w:p>
        </w:tc>
        <w:tc>
          <w:tcPr>
            <w:tcW w:type="dxa" w:w="200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Both</w:t>
            </w:r>
          </w:p>
        </w:tc>
      </w:tr>
      <w:tr>
        <w:tc>
          <w:tcPr>
            <w:tcW w:type="dxa" w:w="345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bCs/>
                <w:color w:val="1A1A1A"/>
                <w:sz w:val="20"/>
                <w:szCs w:val="20"/>
              </w:rPr>
              <w:t xml:space="preserve">Management &amp; consolidated reporting</w:t>
            </w:r>
          </w:p>
        </w:tc>
        <w:tc>
          <w:tcPr>
            <w:tcW w:type="dxa" w:w="4188"/>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NestERP, using the aligned figures</w:t>
            </w:r>
          </w:p>
        </w:tc>
        <w:tc>
          <w:tcPr>
            <w:tcW w:type="dxa" w:w="200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NestERP</w:t>
            </w:r>
          </w:p>
        </w:tc>
      </w:tr>
    </w:tbl>
    <w:p>
      <w:pPr>
        <w:shd w:fill="1F3864" w:color="auto" w:val="clear"/>
        <w:spacing w:after="120" w:before="360"/>
        <w:ind w:left="180" w:right="180"/>
      </w:pPr>
      <w:r>
        <w:rPr>
          <w:rFonts w:ascii="Arial" w:cs="Arial" w:eastAsia="Arial" w:hAnsi="Arial"/>
          <w:b/>
          <w:bCs/>
          <w:color w:val="FFFFFF"/>
          <w:sz w:val="32"/>
          <w:szCs w:val="32"/>
        </w:rPr>
        <w:t xml:space="preserve">3. How It Fits Together</w:t>
      </w:r>
    </w:p>
    <w:p>
      <w:pPr>
        <w:spacing w:after="80" w:before="80"/>
      </w:pPr>
      <w:r>
        <w:rPr>
          <w:rFonts w:ascii="Arial" w:cs="Arial" w:eastAsia="Arial" w:hAnsi="Arial"/>
          <w:color w:val="1A1A1A"/>
          <w:sz w:val="22"/>
          <w:szCs w:val="22"/>
        </w:rPr>
        <w:t xml:space="preserve">There are only a handful of moments where information actually crosses between the two systems. Everything else stays internal to one side.</w:t>
      </w:r>
    </w:p>
    <w:p>
      <w:pPr>
        <w:spacing w:after="40" w:before="200"/>
      </w:pPr>
      <w:r>
        <w:rPr>
          <w:rFonts w:ascii="Arial" w:cs="Arial" w:eastAsia="Arial" w:hAnsi="Arial"/>
          <w:b/>
          <w:bCs/>
          <w:color w:val="1F3864"/>
          <w:sz w:val="22"/>
          <w:szCs w:val="22"/>
        </w:rPr>
        <w:t xml:space="preserve">NestERP → Sage  (operational documents become financial records)</w:t>
      </w:r>
    </w:p>
    <w:p>
      <w:pPr>
        <w:pStyle w:val="ListParagraph"/>
        <w:numPr>
          <w:ilvl w:val="0"/>
          <w:numId w:val="2"/>
        </w:numPr>
        <w:spacing w:after="60" w:before="60"/>
      </w:pPr>
      <w:r>
        <w:rPr>
          <w:rFonts w:ascii="Arial" w:cs="Arial" w:eastAsia="Arial" w:hAnsi="Arial"/>
          <w:color w:val="1A1A1A"/>
          <w:sz w:val="22"/>
          <w:szCs w:val="22"/>
        </w:rPr>
        <w:t xml:space="preserve">Sales invoices and purchase invoices — posted to Sage automatically the moment you submit them in NestERP.</w:t>
      </w:r>
    </w:p>
    <w:p>
      <w:pPr>
        <w:pStyle w:val="ListParagraph"/>
        <w:numPr>
          <w:ilvl w:val="0"/>
          <w:numId w:val="2"/>
        </w:numPr>
        <w:spacing w:after="60" w:before="60"/>
      </w:pPr>
      <w:r>
        <w:rPr>
          <w:rFonts w:ascii="Arial" w:cs="Arial" w:eastAsia="Arial" w:hAnsi="Arial"/>
          <w:color w:val="1A1A1A"/>
          <w:sz w:val="22"/>
          <w:szCs w:val="22"/>
        </w:rPr>
        <w:t xml:space="preserve">Sales orders and purchase orders — sent to Sage when submitted; if cancelled in NestERP, the cancellation is mirrored to Sage.</w:t>
      </w:r>
    </w:p>
    <w:p>
      <w:pPr>
        <w:pStyle w:val="ListParagraph"/>
        <w:numPr>
          <w:ilvl w:val="0"/>
          <w:numId w:val="2"/>
        </w:numPr>
        <w:spacing w:after="60" w:before="60"/>
      </w:pPr>
      <w:r>
        <w:rPr>
          <w:rFonts w:ascii="Arial" w:cs="Arial" w:eastAsia="Arial" w:hAnsi="Arial"/>
          <w:color w:val="1A1A1A"/>
          <w:sz w:val="22"/>
          <w:szCs w:val="22"/>
        </w:rPr>
        <w:t xml:space="preserve">Stock-value movements — posted to Sage as journals so the stock accounts agree on both sides.</w:t>
      </w:r>
    </w:p>
    <w:p>
      <w:pPr>
        <w:spacing w:after="40" w:before="200"/>
      </w:pPr>
      <w:r>
        <w:rPr>
          <w:rFonts w:ascii="Arial" w:cs="Arial" w:eastAsia="Arial" w:hAnsi="Arial"/>
          <w:b/>
          <w:bCs/>
          <w:color w:val="1F3864"/>
          <w:sz w:val="22"/>
          <w:szCs w:val="22"/>
        </w:rPr>
        <w:t xml:space="preserve">Sage → NestERP  (the financial framework feeds the operation)</w:t>
      </w:r>
    </w:p>
    <w:p>
      <w:pPr>
        <w:pStyle w:val="ListParagraph"/>
        <w:numPr>
          <w:ilvl w:val="0"/>
          <w:numId w:val="2"/>
        </w:numPr>
        <w:spacing w:after="60" w:before="60"/>
      </w:pPr>
      <w:r>
        <w:rPr>
          <w:rFonts w:ascii="Arial" w:cs="Arial" w:eastAsia="Arial" w:hAnsi="Arial"/>
          <w:color w:val="1A1A1A"/>
          <w:sz w:val="22"/>
          <w:szCs w:val="22"/>
        </w:rPr>
        <w:t xml:space="preserve">The chart of accounts, customers, suppliers and their categories, items, prices and stock levels are mirrored into NestERP so everyone works off the same master data.</w:t>
      </w:r>
    </w:p>
    <w:p>
      <w:pPr>
        <w:pStyle w:val="ListParagraph"/>
        <w:numPr>
          <w:ilvl w:val="0"/>
          <w:numId w:val="2"/>
        </w:numPr>
        <w:spacing w:after="60" w:before="60"/>
      </w:pPr>
      <w:r>
        <w:rPr>
          <w:rFonts w:ascii="Arial" w:cs="Arial" w:eastAsia="Arial" w:hAnsi="Arial"/>
          <w:color w:val="1A1A1A"/>
          <w:sz w:val="22"/>
          <w:szCs w:val="22"/>
        </w:rPr>
        <w:t xml:space="preserve">Once a month, each customer’s and supplier’s closing balance is read from Sage and NestERP’s debtor and creditor balances are adjusted to match.</w:t>
      </w:r>
    </w:p>
    <w:p>
      <w:pPr>
        <w:pBdr>
          <w:bottom w:val="single" w:color="5B8DB8" w:sz="4" w:space="4"/>
        </w:pBdr>
        <w:spacing w:after="100" w:before="300"/>
      </w:pPr>
      <w:r>
        <w:rPr>
          <w:rFonts w:ascii="Arial" w:cs="Arial" w:eastAsia="Arial" w:hAnsi="Arial"/>
          <w:b/>
          <w:bCs/>
          <w:color w:val="1F3864"/>
          <w:sz w:val="26"/>
          <w:szCs w:val="26"/>
        </w:rPr>
        <w:t xml:space="preserve">3.1  Sales Orders and Purchase Orders</w:t>
      </w:r>
    </w:p>
    <w:p>
      <w:pPr>
        <w:spacing w:after="80" w:before="80"/>
      </w:pPr>
      <w:r>
        <w:rPr>
          <w:rFonts w:ascii="Arial" w:cs="Arial" w:eastAsia="Arial" w:hAnsi="Arial"/>
          <w:color w:val="1A1A1A"/>
          <w:sz w:val="22"/>
          <w:szCs w:val="22"/>
        </w:rPr>
        <w:t xml:space="preserve">When a Sales Order or Purchase Order is confirmed and submitted in NestERP, the integration automatically sends it to Sage in the background. The accountant sees the order appear in Sage within seconds, carrying the same document number and line values as in NestERP.</w:t>
      </w:r>
    </w:p>
    <w:p>
      <w:pPr>
        <w:spacing w:after="80" w:before="80"/>
      </w:pPr>
      <w:r>
        <w:rPr>
          <w:rFonts w:ascii="Arial" w:cs="Arial" w:eastAsia="Arial" w:hAnsi="Arial"/>
          <w:color w:val="1A1A1A"/>
          <w:sz w:val="22"/>
          <w:szCs w:val="22"/>
        </w:rPr>
        <w:t xml:space="preserve">If the order is subsequently cancelled in NestERP, Sage is updated at the same time — the document status in Sage is set to Cancelled automatically. No manual cancellation in Sage is required.</w:t>
      </w:r>
    </w:p>
    <w:p>
      <w:pPr>
        <w:shd w:fill="D6E4F0" w:color="auto" w:val="clear"/>
        <w:spacing w:after="120" w:before="120"/>
        <w:ind w:left="360" w:right="360"/>
      </w:pPr>
      <w:r>
        <w:rPr>
          <w:rFonts w:ascii="Arial" w:cs="Arial" w:eastAsia="Arial" w:hAnsi="Arial"/>
          <w:i/>
          <w:iCs/>
          <w:color w:val="1F3864"/>
          <w:sz w:val="20"/>
          <w:szCs w:val="20"/>
        </w:rPr>
        <w:t xml:space="preserve">Important: Physical stock items must always originate in NestERP. Service-only invoices captured directly in Sage are acceptable and are handled by the monthly reconciliation process described in Section 3.4.</w:t>
      </w:r>
    </w:p>
    <w:p>
      <w:pPr>
        <w:pBdr>
          <w:bottom w:val="single" w:color="5B8DB8" w:sz="4" w:space="4"/>
        </w:pBdr>
        <w:spacing w:after="100" w:before="300"/>
      </w:pPr>
      <w:r>
        <w:rPr>
          <w:rFonts w:ascii="Arial" w:cs="Arial" w:eastAsia="Arial" w:hAnsi="Arial"/>
          <w:b/>
          <w:bCs/>
          <w:color w:val="1F3864"/>
          <w:sz w:val="26"/>
          <w:szCs w:val="26"/>
        </w:rPr>
        <w:t xml:space="preserve">3.2  Stock Movements</w:t>
      </w:r>
    </w:p>
    <w:p>
      <w:pPr>
        <w:spacing w:after="80" w:before="80"/>
      </w:pPr>
      <w:r>
        <w:rPr>
          <w:rFonts w:ascii="Arial" w:cs="Arial" w:eastAsia="Arial" w:hAnsi="Arial"/>
          <w:color w:val="1A1A1A"/>
          <w:sz w:val="22"/>
          <w:szCs w:val="22"/>
        </w:rPr>
        <w:t xml:space="preserve">NestERP is the single source of truth for stock. When stock moves — through a material issue, receipt, manufacturing process, kit build, or stock count reconciliation — NestERP records the movement and calculates the accounting impact automatically using its General Ledger.</w:t>
      </w:r>
    </w:p>
    <w:p>
      <w:pPr>
        <w:spacing w:after="80" w:before="80"/>
      </w:pPr>
      <w:r>
        <w:rPr>
          <w:rFonts w:ascii="Arial" w:cs="Arial" w:eastAsia="Arial" w:hAnsi="Arial"/>
          <w:color w:val="1A1A1A"/>
          <w:sz w:val="22"/>
          <w:szCs w:val="22"/>
        </w:rPr>
        <w:t xml:space="preserve">The integration reads that General Ledger impact and posts a matching Journal Entry in Sage, keeping the stock-value accounts in both systems aligned. The journal in Sage references the original NestERP document number so auditors can trace it back.</w:t>
      </w:r>
    </w:p>
    <w:p>
      <w:pPr>
        <w:spacing w:after="80" w:before="80"/>
      </w:pPr>
      <w:r>
        <w:rPr>
          <w:rFonts w:ascii="Arial" w:cs="Arial" w:eastAsia="Arial" w:hAnsi="Arial"/>
          <w:color w:val="1A1A1A"/>
          <w:sz w:val="22"/>
          <w:szCs w:val="22"/>
        </w:rPr>
        <w:t xml:space="preserve">Stock movements that carry no net change in value (for example, transferring goods between warehouses within the same company) are filtered out — only movements with a real accounting impact are sent to Sage.</w:t>
      </w:r>
    </w:p>
    <w:p>
      <w:pPr>
        <w:pBdr>
          <w:bottom w:val="single" w:color="5B8DB8" w:sz="4" w:space="4"/>
        </w:pBdr>
        <w:spacing w:after="100" w:before="300"/>
      </w:pPr>
      <w:r>
        <w:rPr>
          <w:rFonts w:ascii="Arial" w:cs="Arial" w:eastAsia="Arial" w:hAnsi="Arial"/>
          <w:b/>
          <w:bCs/>
          <w:color w:val="1F3864"/>
          <w:sz w:val="26"/>
          <w:szCs w:val="26"/>
        </w:rPr>
        <w:t xml:space="preserve">3.3  The Clearing Account</w:t>
      </w:r>
    </w:p>
    <w:p>
      <w:pPr>
        <w:spacing w:after="80" w:before="80"/>
      </w:pPr>
      <w:r>
        <w:rPr>
          <w:rFonts w:ascii="Arial" w:cs="Arial" w:eastAsia="Arial" w:hAnsi="Arial"/>
          <w:color w:val="1A1A1A"/>
          <w:sz w:val="22"/>
          <w:szCs w:val="22"/>
        </w:rPr>
        <w:t xml:space="preserve">A dedicated “Sage Payments Clearing” account is maintained in NestERP for each company — it is created automatically the first time the reconciliation runs. This account is the bridge between the two systems:</w:t>
      </w:r>
    </w:p>
    <w:p>
      <w:pPr>
        <w:pStyle w:val="ListParagraph"/>
        <w:numPr>
          <w:ilvl w:val="0"/>
          <w:numId w:val="2"/>
        </w:numPr>
        <w:spacing w:after="60" w:before="60"/>
      </w:pPr>
      <w:r>
        <w:rPr>
          <w:rFonts w:ascii="Arial" w:cs="Arial" w:eastAsia="Arial" w:hAnsi="Arial"/>
          <w:color w:val="1A1A1A"/>
          <w:sz w:val="22"/>
          <w:szCs w:val="22"/>
        </w:rPr>
        <w:t xml:space="preserve">When a customer pays in Sage, NestERP never sees that individual payment — but the monthly reconciliation moves the equivalent amount through this clearing account.</w:t>
      </w:r>
    </w:p>
    <w:p>
      <w:pPr>
        <w:pStyle w:val="ListParagraph"/>
        <w:numPr>
          <w:ilvl w:val="0"/>
          <w:numId w:val="2"/>
        </w:numPr>
        <w:spacing w:after="60" w:before="60"/>
      </w:pPr>
      <w:r>
        <w:rPr>
          <w:rFonts w:ascii="Arial" w:cs="Arial" w:eastAsia="Arial" w:hAnsi="Arial"/>
          <w:color w:val="1A1A1A"/>
          <w:sz w:val="22"/>
          <w:szCs w:val="22"/>
        </w:rPr>
        <w:t xml:space="preserve">Every reconciliation journal has one side on the customer or supplier control account (Accounts Receivable or Accounts Payable) and the other side on this clearing account.</w:t>
      </w:r>
    </w:p>
    <w:p>
      <w:pPr>
        <w:pStyle w:val="ListParagraph"/>
        <w:numPr>
          <w:ilvl w:val="0"/>
          <w:numId w:val="2"/>
        </w:numPr>
        <w:spacing w:after="60" w:before="60"/>
      </w:pPr>
      <w:r>
        <w:rPr>
          <w:rFonts w:ascii="Arial" w:cs="Arial" w:eastAsia="Arial" w:hAnsi="Arial"/>
          <w:color w:val="1A1A1A"/>
          <w:sz w:val="22"/>
          <w:szCs w:val="22"/>
        </w:rPr>
        <w:t xml:space="preserve">Over time, as Sage and NestERP are kept in alignment, the clearing account nets to zero.</w:t>
      </w:r>
    </w:p>
    <w:p>
      <w:pPr>
        <w:spacing w:after="80" w:before="80"/>
      </w:pPr>
      <w:r>
        <w:rPr>
          <w:rFonts w:ascii="Arial" w:cs="Arial" w:eastAsia="Arial" w:hAnsi="Arial"/>
          <w:color w:val="1A1A1A"/>
          <w:sz w:val="22"/>
          <w:szCs w:val="22"/>
        </w:rPr>
        <w:t xml:space="preserve">The clearing account should be reviewed periodically. A persistent balance indicates either a reconciliation that has not yet run, or a discrepancy that needs investigation.</w:t>
      </w:r>
    </w:p>
    <w:p>
      <w:pPr>
        <w:pBdr>
          <w:bottom w:val="single" w:color="5B8DB8" w:sz="4" w:space="4"/>
        </w:pBdr>
        <w:spacing w:after="100" w:before="300"/>
      </w:pPr>
      <w:r>
        <w:rPr>
          <w:rFonts w:ascii="Arial" w:cs="Arial" w:eastAsia="Arial" w:hAnsi="Arial"/>
          <w:b/>
          <w:bCs/>
          <w:color w:val="1F3864"/>
          <w:sz w:val="26"/>
          <w:szCs w:val="26"/>
        </w:rPr>
        <w:t xml:space="preserve">3.4  Monthly Payment Reconciliation</w:t>
      </w:r>
    </w:p>
    <w:p>
      <w:pPr>
        <w:spacing w:after="80" w:before="80"/>
      </w:pPr>
      <w:r>
        <w:rPr>
          <w:rFonts w:ascii="Arial" w:cs="Arial" w:eastAsia="Arial" w:hAnsi="Arial"/>
          <w:color w:val="1A1A1A"/>
          <w:sz w:val="22"/>
          <w:szCs w:val="22"/>
        </w:rPr>
        <w:t xml:space="preserve">Payments — customer receipts, supplier payments, credit note allocations, advance payments — are captured and managed entirely within Sage. NestERP does not replicate individual payment transactions. Instead, a reconciliation process aligns the closing balances.</w:t>
      </w:r>
    </w:p>
    <w:p>
      <w:pPr>
        <w:spacing w:after="40" w:before="200"/>
      </w:pPr>
      <w:r>
        <w:rPr>
          <w:rFonts w:ascii="Arial" w:cs="Arial" w:eastAsia="Arial" w:hAnsi="Arial"/>
          <w:b/>
          <w:bCs/>
          <w:color w:val="1F3864"/>
          <w:sz w:val="22"/>
          <w:szCs w:val="22"/>
        </w:rPr>
        <w:t xml:space="preserve">How it works</w:t>
      </w:r>
    </w:p>
    <w:p>
      <w:pPr>
        <w:pStyle w:val="ListParagraph"/>
        <w:numPr>
          <w:ilvl w:val="0"/>
          <w:numId w:val="2"/>
        </w:numPr>
        <w:spacing w:after="60" w:before="60"/>
      </w:pPr>
      <w:r>
        <w:rPr>
          <w:rFonts w:ascii="Arial" w:cs="Arial" w:eastAsia="Arial" w:hAnsi="Arial"/>
          <w:color w:val="1A1A1A"/>
          <w:sz w:val="22"/>
          <w:szCs w:val="22"/>
        </w:rPr>
        <w:t xml:space="preserve">The reconciliation job runs automatically once a day. Each run asks Sage for the closing balance of every customer and supplier that had activity in the period.</w:t>
      </w:r>
    </w:p>
    <w:p>
      <w:pPr>
        <w:pStyle w:val="ListParagraph"/>
        <w:numPr>
          <w:ilvl w:val="0"/>
          <w:numId w:val="2"/>
        </w:numPr>
        <w:spacing w:after="60" w:before="60"/>
      </w:pPr>
      <w:r>
        <w:rPr>
          <w:rFonts w:ascii="Arial" w:cs="Arial" w:eastAsia="Arial" w:hAnsi="Arial"/>
          <w:color w:val="1A1A1A"/>
          <w:sz w:val="22"/>
          <w:szCs w:val="22"/>
        </w:rPr>
        <w:t xml:space="preserve">It compares each Sage closing balance against the corresponding outstanding balance in NestERP. The difference is called the delta.</w:t>
      </w:r>
    </w:p>
    <w:p>
      <w:pPr>
        <w:pStyle w:val="ListParagraph"/>
        <w:numPr>
          <w:ilvl w:val="0"/>
          <w:numId w:val="2"/>
        </w:numPr>
        <w:spacing w:after="60" w:before="60"/>
      </w:pPr>
      <w:r>
        <w:rPr>
          <w:rFonts w:ascii="Arial" w:cs="Arial" w:eastAsia="Arial" w:hAnsi="Arial"/>
          <w:color w:val="1A1A1A"/>
          <w:sz w:val="22"/>
          <w:szCs w:val="22"/>
        </w:rPr>
        <w:t xml:space="preserve">Where a delta exists, a single Journal Entry is posted in NestERP to bring that party’s balance into line with Sage. Where the balances already agree, no journal is created.</w:t>
      </w:r>
    </w:p>
    <w:p>
      <w:pPr>
        <w:pStyle w:val="ListParagraph"/>
        <w:numPr>
          <w:ilvl w:val="0"/>
          <w:numId w:val="2"/>
        </w:numPr>
        <w:spacing w:after="60" w:before="60"/>
      </w:pPr>
      <w:r>
        <w:rPr>
          <w:rFonts w:ascii="Arial" w:cs="Arial" w:eastAsia="Arial" w:hAnsi="Arial"/>
          <w:color w:val="1A1A1A"/>
          <w:sz w:val="22"/>
          <w:szCs w:val="22"/>
        </w:rPr>
        <w:t xml:space="preserve">Each customer or supplier is reconciled at most once per calendar month. The design deliberately produces one clean reconciliation journal per party per month: the first time a balance drifts in a given month it is corrected within about a day, and any further drift that same month is picked up at the start of the next month.</w:t>
      </w:r>
    </w:p>
    <w:p>
      <w:pPr>
        <w:pStyle w:val="ListParagraph"/>
        <w:numPr>
          <w:ilvl w:val="0"/>
          <w:numId w:val="2"/>
        </w:numPr>
        <w:spacing w:after="60" w:before="60"/>
      </w:pPr>
      <w:r>
        <w:rPr>
          <w:rFonts w:ascii="Arial" w:cs="Arial" w:eastAsia="Arial" w:hAnsi="Arial"/>
          <w:color w:val="1A1A1A"/>
          <w:sz w:val="22"/>
          <w:szCs w:val="22"/>
        </w:rPr>
        <w:t xml:space="preserve">Every journal carries a clear reference — for example, SAGE-RECON-BLOMO-CUST-0042-2026-05 (company abbreviation, party, and period) — so it is easy to identify in the ledger.</w:t>
      </w:r>
    </w:p>
    <w:p>
      <w:pPr>
        <w:shd w:fill="D6E4F0" w:color="auto" w:val="clear"/>
        <w:spacing w:after="120" w:before="120"/>
        <w:ind w:left="360" w:right="360"/>
      </w:pPr>
      <w:r>
        <w:rPr>
          <w:rFonts w:ascii="Arial" w:cs="Arial" w:eastAsia="Arial" w:hAnsi="Arial"/>
          <w:i/>
          <w:iCs/>
          <w:color w:val="1F3864"/>
          <w:sz w:val="20"/>
          <w:szCs w:val="20"/>
        </w:rPr>
        <w:t xml:space="preserve">The reconciliation is one-directional: Sage’s closing balance is treated as the authoritative figure. NestERP is adjusted to match Sage, never the other way around.</w:t>
      </w:r>
    </w:p>
    <w:p>
      <w:pPr>
        <w:spacing w:after="40" w:before="200"/>
      </w:pPr>
      <w:r>
        <w:rPr>
          <w:rFonts w:ascii="Arial" w:cs="Arial" w:eastAsia="Arial" w:hAnsi="Arial"/>
          <w:b/>
          <w:bCs/>
          <w:color w:val="1F3864"/>
          <w:sz w:val="22"/>
          <w:szCs w:val="22"/>
        </w:rPr>
        <w:t xml:space="preserve">What the journals look like</w:t>
      </w:r>
    </w:p>
    <w:p>
      <w:pPr>
        <w:spacing w:after="80" w:before="80"/>
      </w:pPr>
      <w:r>
        <w:rPr>
          <w:rFonts w:ascii="Arial" w:cs="Arial" w:eastAsia="Arial" w:hAnsi="Arial"/>
          <w:color w:val="1A1A1A"/>
          <w:sz w:val="22"/>
          <w:szCs w:val="22"/>
        </w:rPr>
        <w:t xml:space="preserve">For a customer who has paid in Sage (the common case), NestERP’s Accounts Receivable is reduced: the journal debits Sage Payments Clearing and credits Accounts Receivable, posted against that customer. For a supplier who has been paid in Sage, NestERP’s Accounts Payable is reduced: the journal debits Accounts Payable, posted against that supplier, and credits Sage Payments Clearing.</w:t>
      </w:r>
    </w:p>
    <w:p>
      <w:pPr>
        <w:spacing w:after="80" w:before="80"/>
      </w:pPr>
      <w:r>
        <w:rPr>
          <w:rFonts w:ascii="Arial" w:cs="Arial" w:eastAsia="Arial" w:hAnsi="Arial"/>
          <w:color w:val="1A1A1A"/>
          <w:sz w:val="22"/>
          <w:szCs w:val="22"/>
        </w:rPr>
        <w:t xml:space="preserve">If an invoice was instead captured directly in Sage, NestERP’s balance is too low rather than too high — in that case the same journal runs in the opposite direction, increasing the NestERP balance to match Sage. The direction always follows whichever way Sage’s closing balance sits relative to NestERP.</w:t>
      </w:r>
    </w:p>
    <w:p>
      <w:pPr>
        <w:spacing w:after="40" w:before="200"/>
      </w:pPr>
      <w:r>
        <w:rPr>
          <w:rFonts w:ascii="Arial" w:cs="Arial" w:eastAsia="Arial" w:hAnsi="Arial"/>
          <w:b/>
          <w:bCs/>
          <w:color w:val="1F3864"/>
          <w:sz w:val="22"/>
          <w:szCs w:val="22"/>
        </w:rPr>
        <w:t xml:space="preserve">The Sage Reconciliation Log</w:t>
      </w:r>
    </w:p>
    <w:p>
      <w:pPr>
        <w:spacing w:after="80" w:before="80"/>
      </w:pPr>
      <w:r>
        <w:rPr>
          <w:rFonts w:ascii="Arial" w:cs="Arial" w:eastAsia="Arial" w:hAnsi="Arial"/>
          <w:color w:val="1A1A1A"/>
          <w:sz w:val="22"/>
          <w:szCs w:val="22"/>
        </w:rPr>
        <w:t xml:space="preserve">Every reconciliation outcome is recorded in a dedicated log in NestERP — the Sage Reconciliation Log. Each row shows the company, the customer or supplier, the period, the Sage closing balance, the NestERP outstanding balance, the delta, the Journal Entry that was posted, and a status of Created, Skipped, or Failed. This log is the accountant’s audit trail for the reconciliation, and it is also what makes the job safe to re-run: before posting a journal the job checks the log and will not create a second journal for a party and period that already has one.</w:t>
      </w:r>
    </w:p>
    <w:p>
      <w:pPr>
        <w:spacing w:after="80" w:before="80"/>
      </w:pPr>
      <w:r>
        <w:rPr>
          <w:rFonts w:ascii="Arial" w:cs="Arial" w:eastAsia="Arial" w:hAnsi="Arial"/>
          <w:color w:val="1A1A1A"/>
          <w:sz w:val="22"/>
          <w:szCs w:val="22"/>
        </w:rPr>
        <w:t xml:space="preserve">After reconciliation, the debtor and creditor balances in NestERP reflect the same position as Sage. Management reports — debtor age analysis, cash flow projections, profit and loss — produced from NestERP are therefore based on accurate, Sage-aligned figures.</w:t>
      </w:r>
    </w:p>
    <w:p>
      <w:pPr>
        <w:shd w:fill="1F3864" w:color="auto" w:val="clear"/>
        <w:spacing w:after="120" w:before="360"/>
        <w:ind w:left="180" w:right="180"/>
      </w:pPr>
      <w:r>
        <w:rPr>
          <w:rFonts w:ascii="Arial" w:cs="Arial" w:eastAsia="Arial" w:hAnsi="Arial"/>
          <w:b/>
          <w:bCs/>
          <w:color w:val="FFFFFF"/>
          <w:sz w:val="32"/>
          <w:szCs w:val="32"/>
        </w:rPr>
        <w:t xml:space="preserve">4. What Happens When You…</w:t>
      </w:r>
    </w:p>
    <w:p>
      <w:pPr>
        <w:spacing w:after="40" w:before="200"/>
      </w:pPr>
      <w:r>
        <w:rPr>
          <w:rFonts w:ascii="Arial" w:cs="Arial" w:eastAsia="Arial" w:hAnsi="Arial"/>
          <w:b/>
          <w:bCs/>
          <w:color w:val="1F3864"/>
          <w:sz w:val="22"/>
          <w:szCs w:val="22"/>
        </w:rPr>
        <w:t xml:space="preserve">When you create a Sales Invoice</w:t>
      </w:r>
    </w:p>
    <w:p>
      <w:pPr>
        <w:spacing w:after="100" w:before="0"/>
      </w:pPr>
      <w:r>
        <w:rPr>
          <w:rFonts w:ascii="Arial" w:cs="Arial" w:eastAsia="Arial" w:hAnsi="Arial"/>
          <w:color w:val="1A1A1A"/>
          <w:sz w:val="22"/>
          <w:szCs w:val="22"/>
        </w:rPr>
        <w:t xml:space="preserve">Capture and submit it in NestERP. The integration posts it to Sage automatically within seconds, with the same document number and values. Sage calculates and reports the VAT and holds it as the financial record. The accounts are correct on both sides — there is nothing else to do.</w:t>
      </w:r>
    </w:p>
    <w:p>
      <w:pPr>
        <w:spacing w:after="40" w:before="200"/>
      </w:pPr>
      <w:r>
        <w:rPr>
          <w:rFonts w:ascii="Arial" w:cs="Arial" w:eastAsia="Arial" w:hAnsi="Arial"/>
          <w:b/>
          <w:bCs/>
          <w:color w:val="1F3864"/>
          <w:sz w:val="22"/>
          <w:szCs w:val="22"/>
        </w:rPr>
        <w:t xml:space="preserve">When you create a Purchase Invoice</w:t>
      </w:r>
    </w:p>
    <w:p>
      <w:pPr>
        <w:spacing w:after="100" w:before="0"/>
      </w:pPr>
      <w:r>
        <w:rPr>
          <w:rFonts w:ascii="Arial" w:cs="Arial" w:eastAsia="Arial" w:hAnsi="Arial"/>
          <w:color w:val="1A1A1A"/>
          <w:sz w:val="22"/>
          <w:szCs w:val="22"/>
        </w:rPr>
        <w:t xml:space="preserve">Exactly like a sales invoice: capture and submit it in NestERP, and it posts to Sage automatically. Sage is the financial record and handles the VAT. No manual re-capture in Sage.</w:t>
      </w:r>
    </w:p>
    <w:p>
      <w:pPr>
        <w:spacing w:after="40" w:before="200"/>
      </w:pPr>
      <w:r>
        <w:rPr>
          <w:rFonts w:ascii="Arial" w:cs="Arial" w:eastAsia="Arial" w:hAnsi="Arial"/>
          <w:b/>
          <w:bCs/>
          <w:color w:val="1F3864"/>
          <w:sz w:val="22"/>
          <w:szCs w:val="22"/>
        </w:rPr>
        <w:t xml:space="preserve">When you receive a customer payment (or pay a supplier)</w:t>
      </w:r>
    </w:p>
    <w:p>
      <w:pPr>
        <w:spacing w:after="100" w:before="0"/>
      </w:pPr>
      <w:r>
        <w:rPr>
          <w:rFonts w:ascii="Arial" w:cs="Arial" w:eastAsia="Arial" w:hAnsi="Arial"/>
          <w:color w:val="1A1A1A"/>
          <w:sz w:val="22"/>
          <w:szCs w:val="22"/>
        </w:rPr>
        <w:t xml:space="preserve">Capture it in Sage — payments, allocations and credit notes live in Sage only. NestERP does not see the individual payment. At month-end the reconciliation reads that party’s closing balance from Sage and posts a single journal in NestERP so its debtor or creditor balance matches. You never capture payments in NestERP.</w:t>
      </w:r>
    </w:p>
    <w:p>
      <w:pPr>
        <w:spacing w:after="40" w:before="200"/>
      </w:pPr>
      <w:r>
        <w:rPr>
          <w:rFonts w:ascii="Arial" w:cs="Arial" w:eastAsia="Arial" w:hAnsi="Arial"/>
          <w:b/>
          <w:bCs/>
          <w:color w:val="1F3864"/>
          <w:sz w:val="22"/>
          <w:szCs w:val="22"/>
        </w:rPr>
        <w:t xml:space="preserve">When you need to post a journal entry</w:t>
      </w:r>
    </w:p>
    <w:p>
      <w:pPr>
        <w:spacing w:after="100" w:before="0"/>
      </w:pPr>
      <w:r>
        <w:rPr>
          <w:rFonts w:ascii="Arial" w:cs="Arial" w:eastAsia="Arial" w:hAnsi="Arial"/>
          <w:color w:val="1A1A1A"/>
          <w:sz w:val="22"/>
          <w:szCs w:val="22"/>
        </w:rPr>
        <w:t xml:space="preserve">Financial journals belong in Sage — it is the ledger. NestERP posts its own journals where it needs to (for stock movements, and for the monthly balance reconciliation), but you should not be capturing financial journals in NestERP by hand. If in doubt, post it in Sage.</w:t>
      </w:r>
    </w:p>
    <w:p>
      <w:pPr>
        <w:spacing w:after="40" w:before="200"/>
      </w:pPr>
      <w:r>
        <w:rPr>
          <w:rFonts w:ascii="Arial" w:cs="Arial" w:eastAsia="Arial" w:hAnsi="Arial"/>
          <w:b/>
          <w:bCs/>
          <w:color w:val="1F3864"/>
          <w:sz w:val="22"/>
          <w:szCs w:val="22"/>
        </w:rPr>
        <w:t xml:space="preserve">When you capture an invoice directly in Sage instead of NestERP</w:t>
      </w:r>
    </w:p>
    <w:p>
      <w:pPr>
        <w:spacing w:after="100" w:before="0"/>
      </w:pPr>
      <w:r>
        <w:rPr>
          <w:rFonts w:ascii="Arial" w:cs="Arial" w:eastAsia="Arial" w:hAnsi="Arial"/>
          <w:color w:val="1A1A1A"/>
          <w:sz w:val="22"/>
          <w:szCs w:val="22"/>
        </w:rPr>
        <w:t xml:space="preserve">This is fine for a service invoice with no stock — the monthly reconciliation picks up the balance change and aligns NestERP automatically. It is NOT fine for anything involving physical stock: NestERP would never see the stock movement and your stock figures would be wrong. Rule of thumb: if it touches stock, it must start in NestERP.</w:t>
      </w:r>
    </w:p>
    <w:p>
      <w:pPr>
        <w:spacing w:after="40" w:before="200"/>
      </w:pPr>
      <w:r>
        <w:rPr>
          <w:rFonts w:ascii="Arial" w:cs="Arial" w:eastAsia="Arial" w:hAnsi="Arial"/>
          <w:b/>
          <w:bCs/>
          <w:color w:val="1F3864"/>
          <w:sz w:val="22"/>
          <w:szCs w:val="22"/>
        </w:rPr>
        <w:t xml:space="preserve">When you do a stock adjustment or stock count in NestERP</w:t>
      </w:r>
    </w:p>
    <w:p>
      <w:pPr>
        <w:spacing w:after="100" w:before="0"/>
      </w:pPr>
      <w:r>
        <w:rPr>
          <w:rFonts w:ascii="Arial" w:cs="Arial" w:eastAsia="Arial" w:hAnsi="Arial"/>
          <w:color w:val="1A1A1A"/>
          <w:sz w:val="22"/>
          <w:szCs w:val="22"/>
        </w:rPr>
        <w:t xml:space="preserve">NestERP records the stock movement and works out the accounting effect itself, then posts a matching journal to Sage so the stock-value accounts agree on both sides. Nothing to do in Sage.</w:t>
      </w:r>
    </w:p>
    <w:p>
      <w:pPr>
        <w:spacing w:after="40" w:before="200"/>
      </w:pPr>
      <w:r>
        <w:rPr>
          <w:rFonts w:ascii="Arial" w:cs="Arial" w:eastAsia="Arial" w:hAnsi="Arial"/>
          <w:b/>
          <w:bCs/>
          <w:color w:val="1F3864"/>
          <w:sz w:val="22"/>
          <w:szCs w:val="22"/>
        </w:rPr>
        <w:t xml:space="preserve">When you cancel a Sales Order or Purchase Order</w:t>
      </w:r>
    </w:p>
    <w:p>
      <w:pPr>
        <w:spacing w:after="100" w:before="0"/>
      </w:pPr>
      <w:r>
        <w:rPr>
          <w:rFonts w:ascii="Arial" w:cs="Arial" w:eastAsia="Arial" w:hAnsi="Arial"/>
          <w:color w:val="1A1A1A"/>
          <w:sz w:val="22"/>
          <w:szCs w:val="22"/>
        </w:rPr>
        <w:t xml:space="preserve">Cancel it in NestERP. The integration marks the matching document in Sage as cancelled at the same time — there is no need to cancel it in Sage as well.</w:t>
      </w:r>
    </w:p>
    <w:p>
      <w:pPr>
        <w:spacing w:after="40" w:before="200"/>
      </w:pPr>
      <w:r>
        <w:rPr>
          <w:rFonts w:ascii="Arial" w:cs="Arial" w:eastAsia="Arial" w:hAnsi="Arial"/>
          <w:b/>
          <w:bCs/>
          <w:color w:val="1F3864"/>
          <w:sz w:val="22"/>
          <w:szCs w:val="22"/>
        </w:rPr>
        <w:t xml:space="preserve">When you run a VAT return or a SARS submission</w:t>
      </w:r>
    </w:p>
    <w:p>
      <w:pPr>
        <w:spacing w:after="100" w:before="0"/>
      </w:pPr>
      <w:r>
        <w:rPr>
          <w:rFonts w:ascii="Arial" w:cs="Arial" w:eastAsia="Arial" w:hAnsi="Arial"/>
          <w:color w:val="1A1A1A"/>
          <w:sz w:val="22"/>
          <w:szCs w:val="22"/>
        </w:rPr>
        <w:t xml:space="preserve">Entirely in Sage. Sage holds the statutory books and the tax periods; NestERP plays no part in statutory submissions.</w:t>
      </w:r>
    </w:p>
    <w:p>
      <w:pPr>
        <w:spacing w:after="40" w:before="200"/>
      </w:pPr>
      <w:r>
        <w:rPr>
          <w:rFonts w:ascii="Arial" w:cs="Arial" w:eastAsia="Arial" w:hAnsi="Arial"/>
          <w:b/>
          <w:bCs/>
          <w:color w:val="1F3864"/>
          <w:sz w:val="22"/>
          <w:szCs w:val="22"/>
        </w:rPr>
        <w:t xml:space="preserve">When you want a debtor age analysis, cash-flow view or management report</w:t>
      </w:r>
    </w:p>
    <w:p>
      <w:pPr>
        <w:spacing w:after="100" w:before="0"/>
      </w:pPr>
      <w:r>
        <w:rPr>
          <w:rFonts w:ascii="Arial" w:cs="Arial" w:eastAsia="Arial" w:hAnsi="Arial"/>
          <w:color w:val="1A1A1A"/>
          <w:sz w:val="22"/>
          <w:szCs w:val="22"/>
        </w:rPr>
        <w:t xml:space="preserve">Run it from NestERP. Once the month’s reconciliation has run, NestERP’s customer and supplier balances match Sage, so management reports — including consolidated multi-company views — are built on accurate figures.</w:t>
      </w:r>
    </w:p>
    <w:p>
      <w:pPr>
        <w:spacing w:after="40" w:before="200"/>
      </w:pPr>
      <w:r>
        <w:rPr>
          <w:rFonts w:ascii="Arial" w:cs="Arial" w:eastAsia="Arial" w:hAnsi="Arial"/>
          <w:b/>
          <w:bCs/>
          <w:color w:val="1F3864"/>
          <w:sz w:val="22"/>
          <w:szCs w:val="22"/>
        </w:rPr>
        <w:t xml:space="preserve">When you reach month-end and want to know the accounts are right</w:t>
      </w:r>
    </w:p>
    <w:p>
      <w:pPr>
        <w:spacing w:after="100" w:before="0"/>
      </w:pPr>
      <w:r>
        <w:rPr>
          <w:rFonts w:ascii="Arial" w:cs="Arial" w:eastAsia="Arial" w:hAnsi="Arial"/>
          <w:color w:val="1A1A1A"/>
          <w:sz w:val="22"/>
          <w:szCs w:val="22"/>
        </w:rPr>
        <w:t xml:space="preserve">Check that the month’s reconciliation has run, and that the “Sage Payments Clearing” account nets to zero. A zero clearing balance means Sage and NestERP agree. An unexplained balance there is the one thing worth investigating before you close the period.</w:t>
      </w:r>
    </w:p>
    <w:p>
      <w:pPr>
        <w:shd w:fill="1F3864" w:color="auto" w:val="clear"/>
        <w:spacing w:after="120" w:before="360"/>
        <w:ind w:left="180" w:right="180"/>
      </w:pPr>
      <w:r>
        <w:rPr>
          <w:rFonts w:ascii="Arial" w:cs="Arial" w:eastAsia="Arial" w:hAnsi="Arial"/>
          <w:b/>
          <w:bCs/>
          <w:color w:val="FFFFFF"/>
          <w:sz w:val="32"/>
          <w:szCs w:val="32"/>
        </w:rPr>
        <w:t xml:space="preserve">5. Controls and Safeguards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50"/>
        <w:gridCol w:w="7088"/>
      </w:tblGrid>
      <w:tr>
        <w:trPr>
          <w:tblHeader/>
        </w:trPr>
        <w:tc>
          <w:tcPr>
            <w:tcW w:type="dxa" w:w="2550"/>
            <w:tcBorders>
              <w:top w:val="single" w:color="CCCCCC" w:sz="1"/>
              <w:left w:val="single" w:color="CCCCCC" w:sz="1"/>
              <w:bottom w:val="single" w:color="CCCCCC" w:sz="1"/>
              <w:right w:val="single" w:color="CCCCCC" w:sz="1"/>
            </w:tcBorders>
            <w:shd w:fill="1F3864" w:color="auto" w:val="clear"/>
            <w:tcMar>
              <w:top w:type="dxa" w:w="80"/>
              <w:left w:type="dxa" w:w="140"/>
              <w:bottom w:type="dxa" w:w="80"/>
              <w:right w:type="dxa" w:w="140"/>
            </w:tcMar>
            <w:vAlign w:val="center"/>
          </w:tcPr>
          <w:p>
            <w:r>
              <w:rPr>
                <w:rFonts w:ascii="Arial" w:cs="Arial" w:eastAsia="Arial" w:hAnsi="Arial"/>
                <w:b/>
                <w:bCs/>
                <w:color w:val="FFFFFF"/>
                <w:sz w:val="20"/>
                <w:szCs w:val="20"/>
              </w:rPr>
              <w:t xml:space="preserve">Control</w:t>
            </w:r>
          </w:p>
        </w:tc>
        <w:tc>
          <w:tcPr>
            <w:tcW w:type="dxa" w:w="7088"/>
            <w:tcBorders>
              <w:top w:val="single" w:color="CCCCCC" w:sz="1"/>
              <w:left w:val="single" w:color="CCCCCC" w:sz="1"/>
              <w:bottom w:val="single" w:color="CCCCCC" w:sz="1"/>
              <w:right w:val="single" w:color="CCCCCC" w:sz="1"/>
            </w:tcBorders>
            <w:shd w:fill="1F3864" w:color="auto" w:val="clear"/>
            <w:tcMar>
              <w:top w:type="dxa" w:w="80"/>
              <w:left w:type="dxa" w:w="140"/>
              <w:bottom w:type="dxa" w:w="80"/>
              <w:right w:type="dxa" w:w="140"/>
            </w:tcMar>
            <w:vAlign w:val="center"/>
          </w:tcPr>
          <w:p>
            <w:r>
              <w:rPr>
                <w:rFonts w:ascii="Arial" w:cs="Arial" w:eastAsia="Arial" w:hAnsi="Arial"/>
                <w:b/>
                <w:bCs/>
                <w:color w:val="FFFFFF"/>
                <w:sz w:val="20"/>
                <w:szCs w:val="20"/>
              </w:rPr>
              <w:t xml:space="preserve">How it works</w:t>
            </w:r>
          </w:p>
        </w:tc>
      </w:tr>
      <w:tr>
        <w:tc>
          <w:tcPr>
            <w:tcW w:type="dxa" w:w="255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bCs/>
                <w:color w:val="1A1A1A"/>
                <w:sz w:val="20"/>
                <w:szCs w:val="20"/>
              </w:rPr>
              <w:t xml:space="preserve">Duplicate prevention</w:t>
            </w:r>
          </w:p>
        </w:tc>
        <w:tc>
          <w:tcPr>
            <w:tcW w:type="dxa" w:w="7088"/>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Every transaction sent to Sage is stamped with a Sage document ID in NestERP. If NestERP ever attempts to send the same document twice, the existing ID is detected and the second send is blocked.</w:t>
            </w:r>
          </w:p>
        </w:tc>
      </w:tr>
      <w:tr>
        <w:tc>
          <w:tcPr>
            <w:tcW w:type="dxa" w:w="255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bCs/>
                <w:color w:val="1A1A1A"/>
                <w:sz w:val="20"/>
                <w:szCs w:val="20"/>
              </w:rPr>
              <w:t xml:space="preserve">Cancellation guard</w:t>
            </w:r>
          </w:p>
        </w:tc>
        <w:tc>
          <w:tcPr>
            <w:tcW w:type="dxa" w:w="7088"/>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 Sales or Purchase Order is only cancelled in Sage if it carries a confirmed Sage document number — meaning it was successfully sent to Sage in the first place. If no Sage record exists, the cancellation step is skipped silently.</w:t>
            </w:r>
          </w:p>
        </w:tc>
      </w:tr>
      <w:tr>
        <w:tc>
          <w:tcPr>
            <w:tcW w:type="dxa" w:w="255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bCs/>
                <w:color w:val="1A1A1A"/>
                <w:sz w:val="20"/>
                <w:szCs w:val="20"/>
              </w:rPr>
              <w:t xml:space="preserve">Reconciliation idempotency</w:t>
            </w:r>
          </w:p>
        </w:tc>
        <w:tc>
          <w:tcPr>
            <w:tcW w:type="dxa" w:w="7088"/>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Before creating a reconciliation journal, the job checks the Sage Reconciliation Log for an existing journal for that company, party, and period. It is safe to re-run without creating duplicate journals.</w:t>
            </w:r>
          </w:p>
        </w:tc>
      </w:tr>
      <w:tr>
        <w:tc>
          <w:tcPr>
            <w:tcW w:type="dxa" w:w="255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bCs/>
                <w:color w:val="1A1A1A"/>
                <w:sz w:val="20"/>
                <w:szCs w:val="20"/>
              </w:rPr>
              <w:t xml:space="preserve">No reconciliation feedback loop</w:t>
            </w:r>
          </w:p>
        </w:tc>
        <w:tc>
          <w:tcPr>
            <w:tcW w:type="dxa" w:w="7088"/>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Reconciliation journals are derived from Sage’s balances. They carry a SAGE-RECON reference and are deliberately never pushed back to Sage, so they cannot create a loop.</w:t>
            </w:r>
          </w:p>
        </w:tc>
      </w:tr>
      <w:tr>
        <w:tc>
          <w:tcPr>
            <w:tcW w:type="dxa" w:w="255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bCs/>
                <w:color w:val="1A1A1A"/>
                <w:sz w:val="20"/>
                <w:szCs w:val="20"/>
              </w:rPr>
              <w:t xml:space="preserve">Error logging</w:t>
            </w:r>
          </w:p>
        </w:tc>
        <w:tc>
          <w:tcPr>
            <w:tcW w:type="dxa" w:w="7088"/>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If an individual transaction or party fails to sync, the failure is logged — against the document for transaction syncs, or as a Failed row in the Sage Reconciliation Log for reconciliation. The run continues, and the failed item is retried on the next run.</w:t>
            </w:r>
          </w:p>
        </w:tc>
      </w:tr>
      <w:tr>
        <w:tc>
          <w:tcPr>
            <w:tcW w:type="dxa" w:w="255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bCs/>
                <w:color w:val="1A1A1A"/>
                <w:sz w:val="20"/>
                <w:szCs w:val="20"/>
              </w:rPr>
              <w:t xml:space="preserve">Per-company isolation</w:t>
            </w:r>
          </w:p>
        </w:tc>
        <w:tc>
          <w:tcPr>
            <w:tcW w:type="dxa" w:w="7088"/>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Each NestERP company holds its own Sage credentials. There is no cross-posting between companies — a transaction for Company A cannot be sent to Company B’s Sage account.</w:t>
            </w:r>
          </w:p>
        </w:tc>
      </w:tr>
      <w:tr>
        <w:tc>
          <w:tcPr>
            <w:tcW w:type="dxa" w:w="255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bCs/>
                <w:color w:val="1A1A1A"/>
                <w:sz w:val="20"/>
                <w:szCs w:val="20"/>
              </w:rPr>
              <w:t xml:space="preserve">Toggle controls</w:t>
            </w:r>
          </w:p>
        </w:tc>
        <w:tc>
          <w:tcPr>
            <w:tcW w:type="dxa" w:w="7088"/>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Each sync type (Sales Orders, Purchase Orders, Stock Adjustments, Reconciliation, Category sync) has an on/off toggle in the system settings. Any sync can be paused without affecting the others.</w:t>
            </w:r>
          </w:p>
        </w:tc>
      </w:tr>
    </w:tbl>
    <w:p>
      <w:pPr>
        <w:shd w:fill="1F3864" w:color="auto" w:val="clear"/>
        <w:spacing w:after="120" w:before="360"/>
        <w:ind w:left="180" w:right="180"/>
      </w:pPr>
      <w:r>
        <w:rPr>
          <w:rFonts w:ascii="Arial" w:cs="Arial" w:eastAsia="Arial" w:hAnsi="Arial"/>
          <w:b/>
          <w:bCs/>
          <w:color w:val="FFFFFF"/>
          <w:sz w:val="32"/>
          <w:szCs w:val="32"/>
        </w:rPr>
        <w:t xml:space="preserve">6. What the Accountant Needs to Do</w:t>
      </w:r>
    </w:p>
    <w:p>
      <w:pPr>
        <w:spacing w:after="80" w:before="80"/>
      </w:pPr>
      <w:r>
        <w:rPr>
          <w:rFonts w:ascii="Arial" w:cs="Arial" w:eastAsia="Arial" w:hAnsi="Arial"/>
          <w:color w:val="1A1A1A"/>
          <w:sz w:val="22"/>
          <w:szCs w:val="22"/>
        </w:rPr>
        <w:t xml:space="preserve">The integration is designed to run without daily manual intervention. However, there are a few areas where the accountant’s involvement keeps everything clean.</w:t>
      </w:r>
    </w:p>
    <w:p>
      <w:pPr>
        <w:spacing w:after="40" w:before="200"/>
      </w:pPr>
      <w:r>
        <w:rPr>
          <w:rFonts w:ascii="Arial" w:cs="Arial" w:eastAsia="Arial" w:hAnsi="Arial"/>
          <w:b/>
          <w:bCs/>
          <w:color w:val="1F3864"/>
          <w:sz w:val="22"/>
          <w:szCs w:val="22"/>
        </w:rPr>
        <w:t xml:space="preserve">First-time setup (once per company)</w:t>
      </w:r>
    </w:p>
    <w:p>
      <w:pPr>
        <w:pStyle w:val="ListParagraph"/>
        <w:numPr>
          <w:ilvl w:val="0"/>
          <w:numId w:val="2"/>
        </w:numPr>
        <w:spacing w:after="60" w:before="60"/>
      </w:pPr>
      <w:r>
        <w:rPr>
          <w:rFonts w:ascii="Arial" w:cs="Arial" w:eastAsia="Arial" w:hAnsi="Arial"/>
          <w:color w:val="1A1A1A"/>
          <w:sz w:val="22"/>
          <w:szCs w:val="22"/>
        </w:rPr>
        <w:t xml:space="preserve">Confirm the company has its default Accounts Receivable and Accounts Payable accounts set. The “Sage Payments Clearing” account is created automatically — no manual setup needed.</w:t>
      </w:r>
    </w:p>
    <w:p>
      <w:pPr>
        <w:pStyle w:val="ListParagraph"/>
        <w:numPr>
          <w:ilvl w:val="0"/>
          <w:numId w:val="2"/>
        </w:numPr>
        <w:spacing w:after="60" w:before="60"/>
      </w:pPr>
      <w:r>
        <w:rPr>
          <w:rFonts w:ascii="Arial" w:cs="Arial" w:eastAsia="Arial" w:hAnsi="Arial"/>
          <w:color w:val="1A1A1A"/>
          <w:sz w:val="22"/>
          <w:szCs w:val="22"/>
        </w:rPr>
        <w:t xml:space="preserve">Agree the opening date for the very first reconciliation run. On a company with existing history this is normally the start of the current financial year; left blank, it defaults to the financial year start.</w:t>
      </w:r>
    </w:p>
    <w:p>
      <w:pPr>
        <w:pStyle w:val="ListParagraph"/>
        <w:numPr>
          <w:ilvl w:val="0"/>
          <w:numId w:val="2"/>
        </w:numPr>
        <w:spacing w:after="60" w:before="60"/>
      </w:pPr>
      <w:r>
        <w:rPr>
          <w:rFonts w:ascii="Arial" w:cs="Arial" w:eastAsia="Arial" w:hAnsi="Arial"/>
          <w:color w:val="1A1A1A"/>
          <w:sz w:val="22"/>
          <w:szCs w:val="22"/>
        </w:rPr>
        <w:t xml:space="preserve">Once the integration endpoints are live, switch on the “Run Reconciliation Sync” toggle in Erpnext Sbca Settings. It is off by default.</w:t>
      </w:r>
    </w:p>
    <w:p>
      <w:pPr>
        <w:spacing w:after="40" w:before="200"/>
      </w:pPr>
      <w:r>
        <w:rPr>
          <w:rFonts w:ascii="Arial" w:cs="Arial" w:eastAsia="Arial" w:hAnsi="Arial"/>
          <w:b/>
          <w:bCs/>
          <w:color w:val="1F3864"/>
          <w:sz w:val="22"/>
          <w:szCs w:val="22"/>
        </w:rPr>
        <w:t xml:space="preserve">Monthly</w:t>
      </w:r>
    </w:p>
    <w:p>
      <w:pPr>
        <w:pStyle w:val="ListParagraph"/>
        <w:numPr>
          <w:ilvl w:val="0"/>
          <w:numId w:val="2"/>
        </w:numPr>
        <w:spacing w:after="60" w:before="60"/>
      </w:pPr>
      <w:r>
        <w:rPr>
          <w:rFonts w:ascii="Arial" w:cs="Arial" w:eastAsia="Arial" w:hAnsi="Arial"/>
          <w:color w:val="1A1A1A"/>
          <w:sz w:val="22"/>
          <w:szCs w:val="22"/>
        </w:rPr>
        <w:t xml:space="preserve">Confirm the reconciliation has run for the period — check the Sage Reconciliation Log for the current period (e.g. 2026-05) and that journals show a status of Created.</w:t>
      </w:r>
    </w:p>
    <w:p>
      <w:pPr>
        <w:pStyle w:val="ListParagraph"/>
        <w:numPr>
          <w:ilvl w:val="0"/>
          <w:numId w:val="2"/>
        </w:numPr>
        <w:spacing w:after="60" w:before="60"/>
      </w:pPr>
      <w:r>
        <w:rPr>
          <w:rFonts w:ascii="Arial" w:cs="Arial" w:eastAsia="Arial" w:hAnsi="Arial"/>
          <w:color w:val="1A1A1A"/>
          <w:sz w:val="22"/>
          <w:szCs w:val="22"/>
        </w:rPr>
        <w:t xml:space="preserve">Review the Sage Payments Clearing account balance — it should be approaching zero after reconciliation.</w:t>
      </w:r>
    </w:p>
    <w:p>
      <w:pPr>
        <w:pStyle w:val="ListParagraph"/>
        <w:numPr>
          <w:ilvl w:val="0"/>
          <w:numId w:val="2"/>
        </w:numPr>
        <w:spacing w:after="60" w:before="60"/>
      </w:pPr>
      <w:r>
        <w:rPr>
          <w:rFonts w:ascii="Arial" w:cs="Arial" w:eastAsia="Arial" w:hAnsi="Arial"/>
          <w:color w:val="1A1A1A"/>
          <w:sz w:val="22"/>
          <w:szCs w:val="22"/>
        </w:rPr>
        <w:t xml:space="preserve">Investigate any Failed rows in the Sage Reconciliation Log, and any NestERP documents flagged with a sync error — resolve the cause and let the next run retry, or escalate.</w:t>
      </w:r>
    </w:p>
    <w:p>
      <w:pPr>
        <w:spacing w:after="40" w:before="200"/>
      </w:pPr>
      <w:r>
        <w:rPr>
          <w:rFonts w:ascii="Arial" w:cs="Arial" w:eastAsia="Arial" w:hAnsi="Arial"/>
          <w:b/>
          <w:bCs/>
          <w:color w:val="1F3864"/>
          <w:sz w:val="22"/>
          <w:szCs w:val="22"/>
        </w:rPr>
        <w:t xml:space="preserve">Process discipline</w:t>
      </w:r>
    </w:p>
    <w:p>
      <w:pPr>
        <w:pStyle w:val="ListParagraph"/>
        <w:numPr>
          <w:ilvl w:val="0"/>
          <w:numId w:val="2"/>
        </w:numPr>
        <w:spacing w:after="60" w:before="60"/>
      </w:pPr>
      <w:r>
        <w:rPr>
          <w:rFonts w:ascii="Arial" w:cs="Arial" w:eastAsia="Arial" w:hAnsi="Arial"/>
          <w:color w:val="1A1A1A"/>
          <w:sz w:val="22"/>
          <w:szCs w:val="22"/>
        </w:rPr>
        <w:t xml:space="preserve">All transactions involving physical stock must be initiated in NestERP. Do not capture stock-item invoices directly in Sage.</w:t>
      </w:r>
    </w:p>
    <w:p>
      <w:pPr>
        <w:pStyle w:val="ListParagraph"/>
        <w:numPr>
          <w:ilvl w:val="0"/>
          <w:numId w:val="2"/>
        </w:numPr>
        <w:spacing w:after="60" w:before="60"/>
      </w:pPr>
      <w:r>
        <w:rPr>
          <w:rFonts w:ascii="Arial" w:cs="Arial" w:eastAsia="Arial" w:hAnsi="Arial"/>
          <w:color w:val="1A1A1A"/>
          <w:sz w:val="22"/>
          <w:szCs w:val="22"/>
        </w:rPr>
        <w:t xml:space="preserve">Service-only invoices (no stock movement) may be captured directly in Sage if needed — the monthly reconciliation will align the financial impact.</w:t>
      </w:r>
    </w:p>
    <w:p>
      <w:pPr>
        <w:pStyle w:val="ListParagraph"/>
        <w:numPr>
          <w:ilvl w:val="0"/>
          <w:numId w:val="2"/>
        </w:numPr>
        <w:spacing w:after="60" w:before="60"/>
      </w:pPr>
      <w:r>
        <w:rPr>
          <w:rFonts w:ascii="Arial" w:cs="Arial" w:eastAsia="Arial" w:hAnsi="Arial"/>
          <w:color w:val="1A1A1A"/>
          <w:sz w:val="22"/>
          <w:szCs w:val="22"/>
        </w:rPr>
        <w:t xml:space="preserve">Payments, allocations, and credit notes are captured in Sage only. Do not create payment entries in NestERP.</w:t>
      </w:r>
    </w:p>
    <w:p>
      <w:pPr>
        <w:spacing w:after="40" w:before="200"/>
      </w:pPr>
      <w:r>
        <w:rPr>
          <w:rFonts w:ascii="Arial" w:cs="Arial" w:eastAsia="Arial" w:hAnsi="Arial"/>
          <w:b/>
          <w:bCs/>
          <w:color w:val="1F3864"/>
          <w:sz w:val="22"/>
          <w:szCs w:val="22"/>
        </w:rPr>
        <w:t xml:space="preserve">Correcting a reconciliation entry</w:t>
      </w:r>
    </w:p>
    <w:p>
      <w:pPr>
        <w:pStyle w:val="ListParagraph"/>
        <w:numPr>
          <w:ilvl w:val="0"/>
          <w:numId w:val="2"/>
        </w:numPr>
        <w:spacing w:after="60" w:before="60"/>
      </w:pPr>
      <w:r>
        <w:rPr>
          <w:rFonts w:ascii="Arial" w:cs="Arial" w:eastAsia="Arial" w:hAnsi="Arial"/>
          <w:color w:val="1A1A1A"/>
          <w:sz w:val="22"/>
          <w:szCs w:val="22"/>
        </w:rPr>
        <w:t xml:space="preserve">A reconciliation journal can be cancelled in NestERP like any Journal Entry if it is wrong.</w:t>
      </w:r>
    </w:p>
    <w:p>
      <w:pPr>
        <w:pStyle w:val="ListParagraph"/>
        <w:numPr>
          <w:ilvl w:val="0"/>
          <w:numId w:val="2"/>
        </w:numPr>
        <w:spacing w:after="60" w:before="60"/>
      </w:pPr>
      <w:r>
        <w:rPr>
          <w:rFonts w:ascii="Arial" w:cs="Arial" w:eastAsia="Arial" w:hAnsi="Arial"/>
          <w:color w:val="1A1A1A"/>
          <w:sz w:val="22"/>
          <w:szCs w:val="22"/>
        </w:rPr>
        <w:t xml:space="preserve">If you cancel one, also delete or amend its row in the Sage Reconciliation Log. Otherwise the daily job sees the existing “Created” row and will not post a replacement for that party and period.</w:t>
      </w:r>
    </w:p>
    <w:p>
      <w:pPr>
        <w:spacing w:after="40" w:before="200"/>
      </w:pPr>
      <w:r>
        <w:rPr>
          <w:rFonts w:ascii="Arial" w:cs="Arial" w:eastAsia="Arial" w:hAnsi="Arial"/>
          <w:b/>
          <w:bCs/>
          <w:color w:val="1F3864"/>
          <w:sz w:val="22"/>
          <w:szCs w:val="22"/>
        </w:rPr>
        <w:t xml:space="preserve">Period-end</w:t>
      </w:r>
    </w:p>
    <w:p>
      <w:pPr>
        <w:pStyle w:val="ListParagraph"/>
        <w:numPr>
          <w:ilvl w:val="0"/>
          <w:numId w:val="2"/>
        </w:numPr>
        <w:spacing w:after="60" w:before="60"/>
      </w:pPr>
      <w:r>
        <w:rPr>
          <w:rFonts w:ascii="Arial" w:cs="Arial" w:eastAsia="Arial" w:hAnsi="Arial"/>
          <w:color w:val="1A1A1A"/>
          <w:sz w:val="22"/>
          <w:szCs w:val="22"/>
        </w:rPr>
        <w:t xml:space="preserve">Before closing a financial period in Sage, confirm the reconciliation for that period has completed successfully in NestERP.</w:t>
      </w:r>
    </w:p>
    <w:p>
      <w:pPr>
        <w:pStyle w:val="ListParagraph"/>
        <w:numPr>
          <w:ilvl w:val="0"/>
          <w:numId w:val="2"/>
        </w:numPr>
        <w:spacing w:after="60" w:before="60"/>
      </w:pPr>
      <w:r>
        <w:rPr>
          <w:rFonts w:ascii="Arial" w:cs="Arial" w:eastAsia="Arial" w:hAnsi="Arial"/>
          <w:color w:val="1A1A1A"/>
          <w:sz w:val="22"/>
          <w:szCs w:val="22"/>
        </w:rPr>
        <w:t xml:space="preserve">The Sage Payments Clearing account should net to zero at period end. An unexplained balance warrants investigation before the period is closed.</w:t>
      </w:r>
    </w:p>
    <w:p>
      <w:pPr>
        <w:shd w:fill="1F3864" w:color="auto" w:val="clear"/>
        <w:spacing w:after="120" w:before="360"/>
        <w:ind w:left="180" w:right="180"/>
      </w:pPr>
      <w:r>
        <w:rPr>
          <w:rFonts w:ascii="Arial" w:cs="Arial" w:eastAsia="Arial" w:hAnsi="Arial"/>
          <w:b/>
          <w:bCs/>
          <w:color w:val="FFFFFF"/>
          <w:sz w:val="32"/>
          <w:szCs w:val="32"/>
        </w:rPr>
        <w:t xml:space="preserve">7. What Stays in Sage</w:t>
      </w:r>
    </w:p>
    <w:p>
      <w:pPr>
        <w:spacing w:after="80" w:before="80"/>
      </w:pPr>
      <w:r>
        <w:rPr>
          <w:rFonts w:ascii="Arial" w:cs="Arial" w:eastAsia="Arial" w:hAnsi="Arial"/>
          <w:color w:val="1A1A1A"/>
          <w:sz w:val="22"/>
          <w:szCs w:val="22"/>
        </w:rPr>
        <w:t xml:space="preserve">The following financial activities are managed exclusively in Sage and are not replicated into NestERP at a transaction level:</w:t>
      </w:r>
    </w:p>
    <w:p>
      <w:pPr>
        <w:pStyle w:val="ListParagraph"/>
        <w:numPr>
          <w:ilvl w:val="0"/>
          <w:numId w:val="2"/>
        </w:numPr>
        <w:spacing w:after="60" w:before="60"/>
      </w:pPr>
      <w:r>
        <w:rPr>
          <w:rFonts w:ascii="Arial" w:cs="Arial" w:eastAsia="Arial" w:hAnsi="Arial"/>
          <w:color w:val="1A1A1A"/>
          <w:sz w:val="22"/>
          <w:szCs w:val="22"/>
        </w:rPr>
        <w:t xml:space="preserve">Customer receipts and supplier payments</w:t>
      </w:r>
    </w:p>
    <w:p>
      <w:pPr>
        <w:pStyle w:val="ListParagraph"/>
        <w:numPr>
          <w:ilvl w:val="0"/>
          <w:numId w:val="2"/>
        </w:numPr>
        <w:spacing w:after="60" w:before="60"/>
      </w:pPr>
      <w:r>
        <w:rPr>
          <w:rFonts w:ascii="Arial" w:cs="Arial" w:eastAsia="Arial" w:hAnsi="Arial"/>
          <w:color w:val="1A1A1A"/>
          <w:sz w:val="22"/>
          <w:szCs w:val="22"/>
        </w:rPr>
        <w:t xml:space="preserve">Credit note allocations and contra entries</w:t>
      </w:r>
    </w:p>
    <w:p>
      <w:pPr>
        <w:pStyle w:val="ListParagraph"/>
        <w:numPr>
          <w:ilvl w:val="0"/>
          <w:numId w:val="2"/>
        </w:numPr>
        <w:spacing w:after="60" w:before="60"/>
      </w:pPr>
      <w:r>
        <w:rPr>
          <w:rFonts w:ascii="Arial" w:cs="Arial" w:eastAsia="Arial" w:hAnsi="Arial"/>
          <w:color w:val="1A1A1A"/>
          <w:sz w:val="22"/>
          <w:szCs w:val="22"/>
        </w:rPr>
        <w:t xml:space="preserve">Bank accounts and bank reconciliation</w:t>
      </w:r>
    </w:p>
    <w:p>
      <w:pPr>
        <w:pStyle w:val="ListParagraph"/>
        <w:numPr>
          <w:ilvl w:val="0"/>
          <w:numId w:val="2"/>
        </w:numPr>
        <w:spacing w:after="60" w:before="60"/>
      </w:pPr>
      <w:r>
        <w:rPr>
          <w:rFonts w:ascii="Arial" w:cs="Arial" w:eastAsia="Arial" w:hAnsi="Arial"/>
          <w:color w:val="1A1A1A"/>
          <w:sz w:val="22"/>
          <w:szCs w:val="22"/>
        </w:rPr>
        <w:t xml:space="preserve">VAT submissions and tax period processing</w:t>
      </w:r>
    </w:p>
    <w:p>
      <w:pPr>
        <w:pStyle w:val="ListParagraph"/>
        <w:numPr>
          <w:ilvl w:val="0"/>
          <w:numId w:val="2"/>
        </w:numPr>
        <w:spacing w:after="60" w:before="60"/>
      </w:pPr>
      <w:r>
        <w:rPr>
          <w:rFonts w:ascii="Arial" w:cs="Arial" w:eastAsia="Arial" w:hAnsi="Arial"/>
          <w:color w:val="1A1A1A"/>
          <w:sz w:val="22"/>
          <w:szCs w:val="22"/>
        </w:rPr>
        <w:t xml:space="preserve">SARS-compliant statutory reporting</w:t>
      </w:r>
    </w:p>
    <w:p>
      <w:pPr>
        <w:pStyle w:val="ListParagraph"/>
        <w:numPr>
          <w:ilvl w:val="0"/>
          <w:numId w:val="2"/>
        </w:numPr>
        <w:spacing w:after="60" w:before="60"/>
      </w:pPr>
      <w:r>
        <w:rPr>
          <w:rFonts w:ascii="Arial" w:cs="Arial" w:eastAsia="Arial" w:hAnsi="Arial"/>
          <w:color w:val="1A1A1A"/>
          <w:sz w:val="22"/>
          <w:szCs w:val="22"/>
        </w:rPr>
        <w:t xml:space="preserve">Year-end close procedures</w:t>
      </w:r>
    </w:p>
    <w:p>
      <w:pPr>
        <w:spacing w:after="80" w:before="80"/>
      </w:pPr>
      <w:r>
        <w:rPr>
          <w:rFonts w:ascii="Arial" w:cs="Arial" w:eastAsia="Arial" w:hAnsi="Arial"/>
          <w:color w:val="1A1A1A"/>
          <w:sz w:val="22"/>
          <w:szCs w:val="22"/>
        </w:rPr>
        <w:t xml:space="preserve">NestERP reflects the net result of these activities through the monthly balance reconciliation — it sees the outcome (aligned closing balances) rather than the individual transactions. Note that the reconciliation aligns customer and supplier balances only; bank, cash, and other general-ledger accounts are not reconciled by this process and remain Sage’s domain.</w:t>
      </w:r>
    </w:p>
    <w:p>
      <w:pPr>
        <w:shd w:fill="1F3864" w:color="auto" w:val="clear"/>
        <w:spacing w:after="120" w:before="360"/>
        <w:ind w:left="180" w:right="180"/>
      </w:pPr>
      <w:r>
        <w:rPr>
          <w:rFonts w:ascii="Arial" w:cs="Arial" w:eastAsia="Arial" w:hAnsi="Arial"/>
          <w:b/>
          <w:bCs/>
          <w:color w:val="FFFFFF"/>
          <w:sz w:val="32"/>
          <w:szCs w:val="32"/>
        </w:rPr>
        <w:t xml:space="preserve">8. Common Questions</w:t>
      </w:r>
    </w:p>
    <w:p>
      <w:pPr>
        <w:spacing w:after="40" w:before="200"/>
      </w:pPr>
      <w:r>
        <w:rPr>
          <w:rFonts w:ascii="Arial" w:cs="Arial" w:eastAsia="Arial" w:hAnsi="Arial"/>
          <w:b/>
          <w:bCs/>
          <w:color w:val="1F3864"/>
          <w:sz w:val="22"/>
          <w:szCs w:val="22"/>
        </w:rPr>
        <w:t xml:space="preserve">How often does the reconciliation actually run?</w:t>
      </w:r>
    </w:p>
    <w:p>
      <w:pPr>
        <w:spacing w:after="100" w:before="0"/>
      </w:pPr>
      <w:r>
        <w:rPr>
          <w:rFonts w:ascii="Arial" w:cs="Arial" w:eastAsia="Arial" w:hAnsi="Arial"/>
          <w:color w:val="1A1A1A"/>
          <w:sz w:val="22"/>
          <w:szCs w:val="22"/>
        </w:rPr>
        <w:t xml:space="preserve">The job runs once a day. But because each customer and supplier is reconciled at most once per calendar month, the practical effect is monthly: the first time a party’s balance drifts in a month it is corrected within about a day, and any further drift that same month is picked up at the start of the next month. This is deliberate — it keeps one clean reconciliation journal per party per month rather than a stream of small ones.</w:t>
      </w:r>
    </w:p>
    <w:p>
      <w:pPr>
        <w:spacing w:after="40" w:before="200"/>
      </w:pPr>
      <w:r>
        <w:rPr>
          <w:rFonts w:ascii="Arial" w:cs="Arial" w:eastAsia="Arial" w:hAnsi="Arial"/>
          <w:b/>
          <w:bCs/>
          <w:color w:val="1F3864"/>
          <w:sz w:val="22"/>
          <w:szCs w:val="22"/>
        </w:rPr>
        <w:t xml:space="preserve">Why did a customer’s balance go up after reconciliation?</w:t>
      </w:r>
    </w:p>
    <w:p>
      <w:pPr>
        <w:spacing w:after="100" w:before="0"/>
      </w:pPr>
      <w:r>
        <w:rPr>
          <w:rFonts w:ascii="Arial" w:cs="Arial" w:eastAsia="Arial" w:hAnsi="Arial"/>
          <w:color w:val="1A1A1A"/>
          <w:sz w:val="22"/>
          <w:szCs w:val="22"/>
        </w:rPr>
        <w:t xml:space="preserve">Usually reconciliation reduces a customer’s balance, because the customer has paid in Sage and NestERP did not know. But if an invoice was captured directly in Sage, NestERP’s balance was too low — so the journal increases it instead. The direction always follows Sage: NestERP is moved to wherever Sage’s closing balance sits.</w:t>
      </w:r>
    </w:p>
    <w:p>
      <w:pPr>
        <w:spacing w:after="40" w:before="200"/>
      </w:pPr>
      <w:r>
        <w:rPr>
          <w:rFonts w:ascii="Arial" w:cs="Arial" w:eastAsia="Arial" w:hAnsi="Arial"/>
          <w:b/>
          <w:bCs/>
          <w:color w:val="1F3864"/>
          <w:sz w:val="22"/>
          <w:szCs w:val="22"/>
        </w:rPr>
        <w:t xml:space="preserve">Do reconciliation journals affect VAT?</w:t>
      </w:r>
    </w:p>
    <w:p>
      <w:pPr>
        <w:spacing w:after="100" w:before="0"/>
      </w:pPr>
      <w:r>
        <w:rPr>
          <w:rFonts w:ascii="Arial" w:cs="Arial" w:eastAsia="Arial" w:hAnsi="Arial"/>
          <w:color w:val="1A1A1A"/>
          <w:sz w:val="22"/>
          <w:szCs w:val="22"/>
        </w:rPr>
        <w:t xml:space="preserve">No. A reconciliation journal posts between a control account (Accounts Receivable or Accounts Payable) and the Sage Payments Clearing account, with no tax lines. VAT, tax periods, and SARS submissions remain entirely in Sage.</w:t>
      </w:r>
    </w:p>
    <w:p>
      <w:pPr>
        <w:spacing w:after="40" w:before="200"/>
      </w:pPr>
      <w:r>
        <w:rPr>
          <w:rFonts w:ascii="Arial" w:cs="Arial" w:eastAsia="Arial" w:hAnsi="Arial"/>
          <w:b/>
          <w:bCs/>
          <w:color w:val="1F3864"/>
          <w:sz w:val="22"/>
          <w:szCs w:val="22"/>
        </w:rPr>
        <w:t xml:space="preserve">What if a customer or supplier in Sage has no match in NestERP?</w:t>
      </w:r>
    </w:p>
    <w:p>
      <w:pPr>
        <w:spacing w:after="100" w:before="0"/>
      </w:pPr>
      <w:r>
        <w:rPr>
          <w:rFonts w:ascii="Arial" w:cs="Arial" w:eastAsia="Arial" w:hAnsi="Arial"/>
          <w:color w:val="1A1A1A"/>
          <w:sz w:val="22"/>
          <w:szCs w:val="22"/>
        </w:rPr>
        <w:t xml:space="preserve">That party is skipped for the run and noted in the logs — no journal is posted. Once the matching customer or supplier exists in NestERP (it will usually sync across from Sage automatically), the next reconciliation run picks it up.</w:t>
      </w:r>
    </w:p>
    <w:p>
      <w:pPr>
        <w:spacing w:after="40" w:before="200"/>
      </w:pPr>
      <w:r>
        <w:rPr>
          <w:rFonts w:ascii="Arial" w:cs="Arial" w:eastAsia="Arial" w:hAnsi="Arial"/>
          <w:b/>
          <w:bCs/>
          <w:color w:val="1F3864"/>
          <w:sz w:val="22"/>
          <w:szCs w:val="22"/>
        </w:rPr>
        <w:t xml:space="preserve">Can a reconciliation journal be reversed or corrected?</w:t>
      </w:r>
    </w:p>
    <w:p>
      <w:pPr>
        <w:spacing w:after="100" w:before="0"/>
      </w:pPr>
      <w:r>
        <w:rPr>
          <w:rFonts w:ascii="Arial" w:cs="Arial" w:eastAsia="Arial" w:hAnsi="Arial"/>
          <w:color w:val="1A1A1A"/>
          <w:sz w:val="22"/>
          <w:szCs w:val="22"/>
        </w:rPr>
        <w:t xml:space="preserve">Yes — cancel the Journal Entry in NestERP as you would any journal. Important: also delete or amend the matching row in the Sage Reconciliation Log. If the “Created” log row is left in place, the daily job treats that party and period as already done and will not post a replacement.</w:t>
      </w:r>
    </w:p>
    <w:p>
      <w:pPr>
        <w:spacing w:after="40" w:before="200"/>
      </w:pPr>
      <w:r>
        <w:rPr>
          <w:rFonts w:ascii="Arial" w:cs="Arial" w:eastAsia="Arial" w:hAnsi="Arial"/>
          <w:b/>
          <w:bCs/>
          <w:color w:val="1F3864"/>
          <w:sz w:val="22"/>
          <w:szCs w:val="22"/>
        </w:rPr>
        <w:t xml:space="preserve">What happens if Sage cannot be reached on a given day?</w:t>
      </w:r>
    </w:p>
    <w:p>
      <w:pPr>
        <w:spacing w:after="100" w:before="0"/>
      </w:pPr>
      <w:r>
        <w:rPr>
          <w:rFonts w:ascii="Arial" w:cs="Arial" w:eastAsia="Arial" w:hAnsi="Arial"/>
          <w:color w:val="1A1A1A"/>
          <w:sz w:val="22"/>
          <w:szCs w:val="22"/>
        </w:rPr>
        <w:t xml:space="preserve">That company is skipped for that run, the failure is logged, and the “last reconciliation” marker is not advanced — so the next run simply repeats the same period. Nothing is lost or double-counted, because the Sage Reconciliation Log keeps the process idempotent.</w:t>
      </w:r>
    </w:p>
    <w:p>
      <w:pPr>
        <w:spacing w:after="40" w:before="200"/>
      </w:pPr>
      <w:r>
        <w:rPr>
          <w:rFonts w:ascii="Arial" w:cs="Arial" w:eastAsia="Arial" w:hAnsi="Arial"/>
          <w:b/>
          <w:bCs/>
          <w:color w:val="1F3864"/>
          <w:sz w:val="22"/>
          <w:szCs w:val="22"/>
        </w:rPr>
        <w:t xml:space="preserve">Which balances does the reconciliation actually align?</w:t>
      </w:r>
    </w:p>
    <w:p>
      <w:pPr>
        <w:spacing w:after="100" w:before="0"/>
      </w:pPr>
      <w:r>
        <w:rPr>
          <w:rFonts w:ascii="Arial" w:cs="Arial" w:eastAsia="Arial" w:hAnsi="Arial"/>
          <w:color w:val="1A1A1A"/>
          <w:sz w:val="22"/>
          <w:szCs w:val="22"/>
        </w:rPr>
        <w:t xml:space="preserve">Only customer balances (Accounts Receivable) and supplier balances (Accounts Payable), party by party. Bank accounts, cash, and other general-ledger accounts are not touched by this process — they remain managed in Sage.</w:t>
      </w:r>
    </w:p>
    <w:p>
      <w:pPr>
        <w:spacing w:after="40" w:before="200"/>
      </w:pPr>
      <w:r>
        <w:rPr>
          <w:rFonts w:ascii="Arial" w:cs="Arial" w:eastAsia="Arial" w:hAnsi="Arial"/>
          <w:b/>
          <w:bCs/>
          <w:color w:val="1F3864"/>
          <w:sz w:val="22"/>
          <w:szCs w:val="22"/>
        </w:rPr>
        <w:t xml:space="preserve">When can I trust NestERP’s debtor and creditor reports?</w:t>
      </w:r>
    </w:p>
    <w:p>
      <w:pPr>
        <w:spacing w:after="100" w:before="0"/>
      </w:pPr>
      <w:r>
        <w:rPr>
          <w:rFonts w:ascii="Arial" w:cs="Arial" w:eastAsia="Arial" w:hAnsi="Arial"/>
          <w:color w:val="1A1A1A"/>
          <w:sz w:val="22"/>
          <w:szCs w:val="22"/>
        </w:rPr>
        <w:t xml:space="preserve">Once the period’s reconciliation has run for that company. At period-end, confirming the run completed and that the Sage Payments Clearing account nets to zero is the quickest way to know NestERP’s ageing and management reports are sitting on Sage-aligned figures.</w:t>
      </w:r>
    </w:p>
    <w:p>
      <w:pPr>
        <w:spacing w:after="40" w:before="200"/>
      </w:pPr>
      <w:r>
        <w:rPr>
          <w:rFonts w:ascii="Arial" w:cs="Arial" w:eastAsia="Arial" w:hAnsi="Arial"/>
          <w:b/>
          <w:bCs/>
          <w:color w:val="1F3864"/>
          <w:sz w:val="22"/>
          <w:szCs w:val="22"/>
        </w:rPr>
        <w:t xml:space="preserve">Is NestERP now a SARS-compliant set of books?</w:t>
      </w:r>
    </w:p>
    <w:p>
      <w:pPr>
        <w:spacing w:after="100" w:before="0"/>
      </w:pPr>
      <w:r>
        <w:rPr>
          <w:rFonts w:ascii="Arial" w:cs="Arial" w:eastAsia="Arial" w:hAnsi="Arial"/>
          <w:color w:val="1A1A1A"/>
          <w:sz w:val="22"/>
          <w:szCs w:val="22"/>
        </w:rPr>
        <w:t xml:space="preserve">No. NestERP’s reconciled balances are accurate enough for internal management and operational reporting and for consolidated multi-company views. Statutory reporting, VAT returns, and SARS submissions stay in Sage, which remains the financial record of truth.</w:t>
      </w:r>
    </w:p>
    <w:p>
      <w:pPr>
        <w:shd w:fill="1F3864" w:color="auto" w:val="clear"/>
        <w:spacing w:after="120" w:before="360"/>
        <w:ind w:left="180" w:right="180"/>
      </w:pPr>
      <w:r>
        <w:rPr>
          <w:rFonts w:ascii="Arial" w:cs="Arial" w:eastAsia="Arial" w:hAnsi="Arial"/>
          <w:b/>
          <w:bCs/>
          <w:color w:val="FFFFFF"/>
          <w:sz w:val="32"/>
          <w:szCs w:val="32"/>
        </w:rPr>
        <w:t xml:space="preserve">9. The Golden Rules</w:t>
      </w:r>
    </w:p>
    <w:p>
      <w:pPr>
        <w:spacing w:after="80" w:before="80"/>
      </w:pPr>
      <w:r>
        <w:rPr>
          <w:rFonts w:ascii="Arial" w:cs="Arial" w:eastAsia="Arial" w:hAnsi="Arial"/>
          <w:color w:val="1A1A1A"/>
          <w:sz w:val="22"/>
          <w:szCs w:val="22"/>
        </w:rPr>
        <w:t xml:space="preserve">If you remember nothing else from this guide:</w:t>
      </w:r>
    </w:p>
    <w:p>
      <w:pPr>
        <w:pStyle w:val="ListParagraph"/>
        <w:numPr>
          <w:ilvl w:val="0"/>
          <w:numId w:val="2"/>
        </w:numPr>
        <w:spacing w:after="60" w:before="60"/>
      </w:pPr>
      <w:r>
        <w:rPr>
          <w:rFonts w:ascii="Arial" w:cs="Arial" w:eastAsia="Arial" w:hAnsi="Arial"/>
          <w:color w:val="1A1A1A"/>
          <w:sz w:val="22"/>
          <w:szCs w:val="22"/>
        </w:rPr>
        <w:t xml:space="preserve">Create each transaction once, in the system that owns it — operational documents in NestERP, payments and tax in Sage.</w:t>
      </w:r>
    </w:p>
    <w:p>
      <w:pPr>
        <w:pStyle w:val="ListParagraph"/>
        <w:numPr>
          <w:ilvl w:val="0"/>
          <w:numId w:val="2"/>
        </w:numPr>
        <w:spacing w:after="60" w:before="60"/>
      </w:pPr>
      <w:r>
        <w:rPr>
          <w:rFonts w:ascii="Arial" w:cs="Arial" w:eastAsia="Arial" w:hAnsi="Arial"/>
          <w:color w:val="1A1A1A"/>
          <w:sz w:val="22"/>
          <w:szCs w:val="22"/>
        </w:rPr>
        <w:t xml:space="preserve">Anything involving physical stock must start in NestERP. Pure-service invoices may be captured directly in Sage.</w:t>
      </w:r>
    </w:p>
    <w:p>
      <w:pPr>
        <w:pStyle w:val="ListParagraph"/>
        <w:numPr>
          <w:ilvl w:val="0"/>
          <w:numId w:val="2"/>
        </w:numPr>
        <w:spacing w:after="60" w:before="60"/>
      </w:pPr>
      <w:r>
        <w:rPr>
          <w:rFonts w:ascii="Arial" w:cs="Arial" w:eastAsia="Arial" w:hAnsi="Arial"/>
          <w:color w:val="1A1A1A"/>
          <w:sz w:val="22"/>
          <w:szCs w:val="22"/>
        </w:rPr>
        <w:t xml:space="preserve">Sage is the financial record of truth. NestERP’s figures are aligned to Sage, never the other way around.</w:t>
      </w:r>
    </w:p>
    <w:p>
      <w:pPr>
        <w:pStyle w:val="ListParagraph"/>
        <w:numPr>
          <w:ilvl w:val="0"/>
          <w:numId w:val="2"/>
        </w:numPr>
        <w:spacing w:after="60" w:before="60"/>
      </w:pPr>
      <w:r>
        <w:rPr>
          <w:rFonts w:ascii="Arial" w:cs="Arial" w:eastAsia="Arial" w:hAnsi="Arial"/>
          <w:color w:val="1A1A1A"/>
          <w:sz w:val="22"/>
          <w:szCs w:val="22"/>
        </w:rPr>
        <w:t xml:space="preserve">Payments are never re-captured in NestERP — the monthly reconciliation handles them.</w:t>
      </w:r>
    </w:p>
    <w:p>
      <w:pPr>
        <w:pStyle w:val="ListParagraph"/>
        <w:numPr>
          <w:ilvl w:val="0"/>
          <w:numId w:val="2"/>
        </w:numPr>
        <w:spacing w:after="60" w:before="60"/>
      </w:pPr>
      <w:r>
        <w:rPr>
          <w:rFonts w:ascii="Arial" w:cs="Arial" w:eastAsia="Arial" w:hAnsi="Arial"/>
          <w:color w:val="1A1A1A"/>
          <w:sz w:val="22"/>
          <w:szCs w:val="22"/>
        </w:rPr>
        <w:t xml:space="preserve">At month-end, a “Sage Payments Clearing” balance of zero means the two systems agree.</w:t>
      </w:r>
    </w:p>
    <w:p>
      <w:pPr>
        <w:shd w:fill="1F3864" w:color="auto" w:val="clear"/>
        <w:spacing w:after="120" w:before="360"/>
        <w:ind w:left="180" w:right="180"/>
      </w:pPr>
      <w:r>
        <w:rPr>
          <w:rFonts w:ascii="Arial" w:cs="Arial" w:eastAsia="Arial" w:hAnsi="Arial"/>
          <w:b/>
          <w:bCs/>
          <w:color w:val="FFFFFF"/>
          <w:sz w:val="32"/>
          <w:szCs w:val="32"/>
        </w:rPr>
        <w:t xml:space="preserve">10.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7188"/>
      </w:tblGrid>
      <w:tr>
        <w:trPr>
          <w:tblHeader/>
        </w:trPr>
        <w:tc>
          <w:tcPr>
            <w:tcW w:type="dxa" w:w="2450"/>
            <w:tcBorders>
              <w:top w:val="single" w:color="CCCCCC" w:sz="1"/>
              <w:left w:val="single" w:color="CCCCCC" w:sz="1"/>
              <w:bottom w:val="single" w:color="CCCCCC" w:sz="1"/>
              <w:right w:val="single" w:color="CCCCCC" w:sz="1"/>
            </w:tcBorders>
            <w:shd w:fill="1F3864" w:color="auto" w:val="clear"/>
            <w:tcMar>
              <w:top w:type="dxa" w:w="80"/>
              <w:left w:type="dxa" w:w="140"/>
              <w:bottom w:type="dxa" w:w="80"/>
              <w:right w:type="dxa" w:w="140"/>
            </w:tcMar>
            <w:vAlign w:val="center"/>
          </w:tcPr>
          <w:p>
            <w:r>
              <w:rPr>
                <w:rFonts w:ascii="Arial" w:cs="Arial" w:eastAsia="Arial" w:hAnsi="Arial"/>
                <w:b/>
                <w:bCs/>
                <w:color w:val="FFFFFF"/>
                <w:sz w:val="20"/>
                <w:szCs w:val="20"/>
              </w:rPr>
              <w:t xml:space="preserve">Term</w:t>
            </w:r>
          </w:p>
        </w:tc>
        <w:tc>
          <w:tcPr>
            <w:tcW w:type="dxa" w:w="7188"/>
            <w:tcBorders>
              <w:top w:val="single" w:color="CCCCCC" w:sz="1"/>
              <w:left w:val="single" w:color="CCCCCC" w:sz="1"/>
              <w:bottom w:val="single" w:color="CCCCCC" w:sz="1"/>
              <w:right w:val="single" w:color="CCCCCC" w:sz="1"/>
            </w:tcBorders>
            <w:shd w:fill="1F3864" w:color="auto" w:val="clear"/>
            <w:tcMar>
              <w:top w:type="dxa" w:w="80"/>
              <w:left w:type="dxa" w:w="140"/>
              <w:bottom w:type="dxa" w:w="80"/>
              <w:right w:type="dxa" w:w="140"/>
            </w:tcMar>
            <w:vAlign w:val="center"/>
          </w:tcPr>
          <w:p>
            <w:r>
              <w:rPr>
                <w:rFonts w:ascii="Arial" w:cs="Arial" w:eastAsia="Arial" w:hAnsi="Arial"/>
                <w:b/>
                <w:bCs/>
                <w:color w:val="FFFFFF"/>
                <w:sz w:val="20"/>
                <w:szCs w:val="20"/>
              </w:rPr>
              <w:t xml:space="preserve">Meaning</w:t>
            </w:r>
          </w:p>
        </w:tc>
      </w:tr>
      <w:tr>
        <w:tc>
          <w:tcPr>
            <w:tcW w:type="dxa" w:w="245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bCs/>
                <w:color w:val="1A1A1A"/>
                <w:sz w:val="20"/>
                <w:szCs w:val="20"/>
              </w:rPr>
              <w:t xml:space="preserve">NestERP API</w:t>
            </w:r>
          </w:p>
        </w:tc>
        <w:tc>
          <w:tcPr>
            <w:tcW w:type="dxa" w:w="7188"/>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The middleware integration layer that sits between NestERP and Sage and translates data between the two systems.</w:t>
            </w:r>
          </w:p>
        </w:tc>
      </w:tr>
      <w:tr>
        <w:tc>
          <w:tcPr>
            <w:tcW w:type="dxa" w:w="245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bCs/>
                <w:color w:val="1A1A1A"/>
                <w:sz w:val="20"/>
                <w:szCs w:val="20"/>
              </w:rPr>
              <w:t xml:space="preserve">Journal Entry</w:t>
            </w:r>
          </w:p>
        </w:tc>
        <w:tc>
          <w:tcPr>
            <w:tcW w:type="dxa" w:w="7188"/>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 double-entry accounting record created in NestERP to reflect a financial event — for example a stock movement or a balance alignment.</w:t>
            </w:r>
          </w:p>
        </w:tc>
      </w:tr>
      <w:tr>
        <w:tc>
          <w:tcPr>
            <w:tcW w:type="dxa" w:w="245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bCs/>
                <w:color w:val="1A1A1A"/>
                <w:sz w:val="20"/>
                <w:szCs w:val="20"/>
              </w:rPr>
              <w:t xml:space="preserve">Sage Payments Clearing</w:t>
            </w:r>
          </w:p>
        </w:tc>
        <w:tc>
          <w:tcPr>
            <w:tcW w:type="dxa" w:w="7188"/>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 transit account in NestERP that holds one side of every reconciliation entry. It nets to zero once the two systems are in alignment. Auto-created per company.</w:t>
            </w:r>
          </w:p>
        </w:tc>
      </w:tr>
      <w:tr>
        <w:tc>
          <w:tcPr>
            <w:tcW w:type="dxa" w:w="245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bCs/>
                <w:color w:val="1A1A1A"/>
                <w:sz w:val="20"/>
                <w:szCs w:val="20"/>
              </w:rPr>
              <w:t xml:space="preserve">Delta</w:t>
            </w:r>
          </w:p>
        </w:tc>
        <w:tc>
          <w:tcPr>
            <w:tcW w:type="dxa" w:w="7188"/>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The difference between the Sage closing balance and the NestERP outstanding balance for a customer or supplier. A delta of zero means the systems agree and no journal is posted.</w:t>
            </w:r>
          </w:p>
        </w:tc>
      </w:tr>
      <w:tr>
        <w:tc>
          <w:tcPr>
            <w:tcW w:type="dxa" w:w="245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bCs/>
                <w:color w:val="1A1A1A"/>
                <w:sz w:val="20"/>
                <w:szCs w:val="20"/>
              </w:rPr>
              <w:t xml:space="preserve">Reconciliation Journal</w:t>
            </w:r>
          </w:p>
        </w:tc>
        <w:tc>
          <w:tcPr>
            <w:tcW w:type="dxa" w:w="7188"/>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 Journal Entry posted automatically to bring NestERP’s debtor or creditor balance into line with Sage’s closing balance — one per customer or supplier per month.</w:t>
            </w:r>
          </w:p>
        </w:tc>
      </w:tr>
      <w:tr>
        <w:tc>
          <w:tcPr>
            <w:tcW w:type="dxa" w:w="245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bCs/>
                <w:color w:val="1A1A1A"/>
                <w:sz w:val="20"/>
                <w:szCs w:val="20"/>
              </w:rPr>
              <w:t xml:space="preserve">Sage Reconciliation Log</w:t>
            </w:r>
          </w:p>
        </w:tc>
        <w:tc>
          <w:tcPr>
            <w:tcW w:type="dxa" w:w="7188"/>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The record in NestERP of every reconciliation outcome: one row per company, party, and period, showing the balances, the delta, the journal posted, and a status of Created, Skipped, or Failed. The accountant’s audit trail and the job’s safeguard against duplicates.</w:t>
            </w:r>
          </w:p>
        </w:tc>
      </w:tr>
      <w:tr>
        <w:tc>
          <w:tcPr>
            <w:tcW w:type="dxa" w:w="245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bCs/>
                <w:color w:val="1A1A1A"/>
                <w:sz w:val="20"/>
                <w:szCs w:val="20"/>
              </w:rPr>
              <w:t xml:space="preserve">Period</w:t>
            </w:r>
          </w:p>
        </w:tc>
        <w:tc>
          <w:tcPr>
            <w:tcW w:type="dxa" w:w="7188"/>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The calendar month a reconciliation covers, written as YYYY-MM (e.g. 2026-05) and used in the journal reference.</w:t>
            </w:r>
          </w:p>
        </w:tc>
      </w:tr>
      <w:tr>
        <w:tc>
          <w:tcPr>
            <w:tcW w:type="dxa" w:w="245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bCs/>
                <w:color w:val="1A1A1A"/>
                <w:sz w:val="20"/>
                <w:szCs w:val="20"/>
              </w:rPr>
              <w:t xml:space="preserve">Document Number</w:t>
            </w:r>
          </w:p>
        </w:tc>
        <w:tc>
          <w:tcPr>
            <w:tcW w:type="dxa" w:w="7188"/>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The human-readable reference Sage assigns when a document (Sales Order, Purchase Order, etc.) is accepted. NestERP stores it for traceability and for cancellation requests.</w:t>
            </w:r>
          </w:p>
        </w:tc>
      </w:tr>
      <w:tr>
        <w:tc>
          <w:tcPr>
            <w:tcW w:type="dxa" w:w="245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bCs/>
                <w:color w:val="1A1A1A"/>
                <w:sz w:val="20"/>
                <w:szCs w:val="20"/>
              </w:rPr>
              <w:t xml:space="preserve">Customer / Supplier Category</w:t>
            </w:r>
          </w:p>
        </w:tc>
        <w:tc>
          <w:tcPr>
            <w:tcW w:type="dxa" w:w="7188"/>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Sage’s grouping of customers and suppliers. These are mirrored into NestERP as Customer Groups and Supplier Groups, and each party is filed under its category.</w:t>
            </w:r>
          </w:p>
        </w:tc>
      </w:tr>
      <w:tr>
        <w:tc>
          <w:tcPr>
            <w:tcW w:type="dxa" w:w="2450"/>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bCs/>
                <w:color w:val="1A1A1A"/>
                <w:sz w:val="20"/>
                <w:szCs w:val="20"/>
              </w:rPr>
              <w:t xml:space="preserve">Toggle</w:t>
            </w:r>
          </w:p>
        </w:tc>
        <w:tc>
          <w:tcPr>
            <w:tcW w:type="dxa" w:w="7188"/>
            <w:tcBorders>
              <w:top w:val="single" w:color="CCCCCC" w:sz="1"/>
              <w:left w:val="single" w:color="CCCCCC" w:sz="1"/>
              <w:bottom w:val="single" w:color="CCCCCC" w:sz="1"/>
              <w:right w:val="single" w:color="CCCCCC" w:sz="1"/>
            </w:tcBorders>
            <w:shd w:fill="F2F4F7" w:color="auto"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An on/off switch in the system settings that enables or disables a specific sync type without affecting the rest of the integration.</w:t>
            </w:r>
          </w:p>
        </w:tc>
      </w:tr>
    </w:tbl>
    <w:p>
      <w:pPr>
        <w:spacing w:after="0" w:before="280"/>
      </w:pPr>
    </w:p>
    <w:p>
      <w:pPr>
        <w:shd w:fill="D6E4F0" w:color="auto" w:val="clear"/>
        <w:spacing w:after="120" w:before="120"/>
        <w:ind w:left="360" w:right="360"/>
      </w:pPr>
      <w:r>
        <w:rPr>
          <w:rFonts w:ascii="Arial" w:cs="Arial" w:eastAsia="Arial" w:hAnsi="Arial"/>
          <w:i/>
          <w:iCs/>
          <w:color w:val="1F3864"/>
          <w:sz w:val="20"/>
          <w:szCs w:val="20"/>
        </w:rPr>
        <w:t xml:space="preserve">Questions or concerns about the synchronisation should be directed to your Syncflo system administrator. This guide describes the integration as designed. Where system behaviour differs from this guide, please report it promptly.</w:t>
      </w:r>
    </w:p>
    <w:p>
      <w:pPr>
        <w:spacing w:after="0" w:before="120"/>
      </w:pPr>
      <w:r>
        <w:rPr>
          <w:rFonts w:ascii="Arial" w:cs="Arial" w:eastAsia="Arial" w:hAnsi="Arial"/>
          <w:i/>
          <w:iCs/>
          <w:color w:val="6C757D"/>
          <w:sz w:val="18"/>
          <w:szCs w:val="18"/>
        </w:rPr>
        <w:t xml:space="preserve">Revision: May 2026 — consolidated guide covering the integration, the scheduled payment reconciliation, and the customer/supplier category sync.</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6C757D"/>
        <w:sz w:val="16"/>
        <w:szCs w:val="16"/>
      </w:rPr>
      <w:t xml:space="preserve">Confidential — prepared by Syncflo</w:t>
    </w:r>
    <w:r>
      <w:rPr>
        <w:rFonts w:ascii="Arial" w:cs="Arial" w:eastAsia="Arial" w:hAnsi="Arial"/>
        <w:color w:val="6C757D"/>
        <w:sz w:val="16"/>
        <w:szCs w:val="16"/>
      </w:rPr>
      <w:t xml:space="preserve">	Page </w:t>
    </w:r>
    <w:r>
      <w:rPr>
        <w:rFonts w:ascii="Arial" w:cs="Arial" w:eastAsia="Arial" w:hAnsi="Arial"/>
        <w:color w:val="6C75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8DB8" w:sz="4" w:space="2"/>
      </w:pBdr>
      <w:tabs>
        <w:tab w:val="right" w:pos="9638"/>
      </w:tabs>
    </w:pPr>
    <w:r>
      <w:rPr>
        <w:rFonts w:ascii="Arial" w:cs="Arial" w:eastAsia="Arial" w:hAnsi="Arial"/>
        <w:b/>
        <w:bCs/>
        <w:color w:val="1F3864"/>
        <w:sz w:val="16"/>
        <w:szCs w:val="16"/>
      </w:rPr>
      <w:t xml:space="preserve">Sage ↔ NestERP  —  Accounting Synchronisation Guide</w:t>
    </w:r>
    <w:r>
      <w:rPr>
        <w:rFonts w:ascii="Arial" w:cs="Arial" w:eastAsia="Arial" w:hAnsi="Arial"/>
        <w:color w:val="6C757D"/>
        <w:sz w:val="16"/>
        <w:szCs w:val="16"/>
      </w:rPr>
      <w:t xml:space="preserve">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nest_log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2026-05-14T11:20:35.511Z</dcterms:created>
  <dcterms:modified xsi:type="dcterms:W3CDTF">2026-05-14T11:20:35.511Z</dcterms:modified>
</cp:coreProperties>
</file>

<file path=docProps/custom.xml><?xml version="1.0" encoding="utf-8"?>
<Properties xmlns="http://schemas.openxmlformats.org/officeDocument/2006/custom-properties" xmlns:vt="http://schemas.openxmlformats.org/officeDocument/2006/docPropsVTypes"/>
</file>