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rPr>
          <w:color w:val="007E45"/>
          <w:sz w:val="56"/>
          <w:szCs w:val="56"/>
          <w:b/>
        </w:rPr>
      </w:pPr>
      <w:r>
        <w:rPr>
          <w:color w:val="007E45"/>
          <w:sz w:val="56"/>
          <w:szCs w:val="56"/>
          <w:b/>
        </w:rPr>
        <w:t xml:space="preserve">Receiving</w:t>
      </w:r>
    </w:p>
    <w:p>
      <w:pPr>
        <w:rPr>
          <w:color w:val="66756D"/>
          <w:sz w:val="22"/>
          <w:szCs w:val="22"/>
        </w:rPr>
      </w:pPr>
      <w:r>
        <w:rPr>
          <w:color w:val="66756D"/>
          <w:sz w:val="22"/>
          <w:szCs w:val="22"/>
          <w:i/>
        </w:rPr>
        <w:t xml:space="preserve">Booking a delivery in against a purchase order — Fuse Manufacturing user guide 07</w:t>
      </w:r>
    </w:p>
    <w:p>
      <w:pPr>
        <w:pStyle w:val="Heading1"/>
        <w:spacing w:before="320"/>
        <w:rPr>
          <w:color w:val="007E45"/>
          <w:sz w:val="32"/>
          <w:szCs w:val="32"/>
          <w:b/>
        </w:rPr>
      </w:pPr>
      <w:r>
        <w:rPr>
          <w:color w:val="007E45"/>
          <w:sz w:val="32"/>
          <w:szCs w:val="32"/>
          <w:b/>
        </w:rPr>
        <w:t xml:space="preserve">Before you start</w:t>
      </w:r>
    </w:p>
    <w:p>
      <w:pPr>
        <w:pStyle w:val="Heading2"/>
        <w:spacing w:before="240"/>
        <w:rPr>
          <w:color w:val="006034"/>
          <w:sz w:val="26"/>
          <w:szCs w:val="26"/>
          <w:b/>
        </w:rPr>
      </w:pPr>
      <w:r>
        <w:rPr>
          <w:color w:val="006034"/>
          <w:sz w:val="26"/>
          <w:szCs w:val="26"/>
          <w:b/>
        </w:rPr>
        <w:t xml:space="preserve">What receiving is</w:t>
      </w:r>
    </w:p>
    <w:p>
      <w:pPr>
        <w:rPr>
          <w:sz w:val="21"/>
          <w:szCs w:val="21"/>
        </w:rPr>
      </w:pPr>
      <w:r>
        <w:rPr>
          <w:sz w:val="21"/>
          <w:szCs w:val="21"/>
        </w:rPr>
        <w:t xml:space="preserve">A supplier delivers goods against a purchase order. Receiving is where you record what actually turned up: how much of each item, which warehouse it went into, and anything that arrived damaged.</w:t>
      </w:r>
    </w:p>
    <w:p>
      <w:pPr>
        <w:rPr>
          <w:sz w:val="21"/>
          <w:szCs w:val="21"/>
        </w:rPr>
      </w:pPr>
      <w:r>
        <w:rPr>
          <w:sz w:val="21"/>
          <w:szCs w:val="21"/>
        </w:rPr>
        <w:t xml:space="preserve">Recording it does two things at once. The stock appears in Fuse, and a receipt is created in Sage Intacct against the same order. Both happen together, and Intacct goes first — so the two systems cannot end up disagreeing about a delivery.</w:t>
      </w:r>
    </w:p>
    <w:p>
      <w:pPr>
        <w:pStyle w:val="Heading2"/>
        <w:spacing w:before="240"/>
        <w:rPr>
          <w:color w:val="006034"/>
          <w:sz w:val="26"/>
          <w:szCs w:val="26"/>
          <w:b/>
        </w:rPr>
      </w:pPr>
      <w:r>
        <w:rPr>
          <w:color w:val="006034"/>
          <w:sz w:val="26"/>
          <w:szCs w:val="26"/>
          <w:b/>
        </w:rPr>
        <w:t xml:space="preserve">Where the orders come from</w:t>
      </w:r>
    </w:p>
    <w:p>
      <w:pPr>
        <w:rPr>
          <w:sz w:val="21"/>
          <w:szCs w:val="21"/>
        </w:rPr>
      </w:pPr>
      <w:r>
        <w:rPr>
          <w:sz w:val="21"/>
          <w:szCs w:val="21"/>
          <w:b/>
        </w:rPr>
        <w:t xml:space="preserve">Purchase orders are never created in Fuse.</w:t>
      </w:r>
      <w:r>
        <w:rPr>
          <w:sz w:val="21"/>
          <w:szCs w:val="21"/>
        </w:rPr>
        <w:t xml:space="preserve"> They are raised in Intacct and mirrored here read-only, so that stock on order shows in planning and reports. You can receive against one; you cannot edit it, and you cannot invent one.</w:t>
      </w:r>
    </w:p>
    <w:p>
      <w:pPr>
        <w:rPr>
          <w:sz w:val="21"/>
          <w:szCs w:val="21"/>
        </w:rPr>
      </w:pPr>
      <w:r>
        <w:rPr>
          <w:sz w:val="21"/>
          <w:szCs w:val="21"/>
        </w:rPr>
        <w:t xml:space="preserve">If an order you expect is not in the list, it is not open in Intacct — check there rather than looking for a way to add it here.</w:t>
      </w:r>
    </w:p>
    <w:p>
      <w:pPr>
        <w:pStyle w:val="Heading2"/>
        <w:spacing w:before="240"/>
        <w:rPr>
          <w:color w:val="006034"/>
          <w:sz w:val="26"/>
          <w:szCs w:val="26"/>
          <w:b/>
        </w:rPr>
      </w:pPr>
      <w:r>
        <w:rPr>
          <w:color w:val="006034"/>
          <w:sz w:val="26"/>
          <w:szCs w:val="26"/>
          <w:b/>
        </w:rPr>
        <w:t xml:space="preserve">Before you record anything</w:t>
      </w:r>
    </w:p>
    <w:p>
      <w:pPr>
        <w:pStyle w:val="ListParagraph"/>
        <w:numPr>
          <w:ilvl w:val="0"/>
          <w:numId w:val="2"/>
        </w:numPr>
        <w:rPr>
          <w:sz w:val="21"/>
          <w:szCs w:val="21"/>
        </w:rPr>
      </w:pPr>
      <w:r>
        <w:rPr>
          <w:sz w:val="21"/>
          <w:szCs w:val="21"/>
        </w:rPr>
        <w:t xml:space="preserve">Have the supplier's delivery note or invoice number to hand. It is carried through to</w:t>
      </w:r>
    </w:p>
    <w:p>
      <w:pPr>
        <w:rPr>
          <w:sz w:val="21"/>
          <w:szCs w:val="21"/>
        </w:rPr>
      </w:pPr>
      <w:r>
        <w:rPr>
          <w:sz w:val="21"/>
          <w:szCs w:val="21"/>
        </w:rPr>
        <w:t xml:space="preserve">Intacct on the receipt.</w:t>
      </w:r>
    </w:p>
    <w:p>
      <w:pPr>
        <w:pStyle w:val="ListParagraph"/>
        <w:numPr>
          <w:ilvl w:val="0"/>
          <w:numId w:val="2"/>
        </w:numPr>
        <w:rPr>
          <w:sz w:val="21"/>
          <w:szCs w:val="21"/>
        </w:rPr>
      </w:pPr>
      <w:r>
        <w:rPr>
          <w:sz w:val="21"/>
          <w:szCs w:val="21"/>
        </w:rPr>
        <w:t xml:space="preserve">Know how much actually arrived, not how much was ordered.</w:t>
      </w:r>
    </w:p>
    <w:p>
      <w:pPr>
        <w:pStyle w:val="ListParagraph"/>
        <w:numPr>
          <w:ilvl w:val="0"/>
          <w:numId w:val="2"/>
        </w:numPr>
        <w:rPr>
          <w:sz w:val="21"/>
          <w:szCs w:val="21"/>
        </w:rPr>
      </w:pPr>
      <w:r>
        <w:rPr>
          <w:sz w:val="21"/>
          <w:szCs w:val="21"/>
        </w:rPr>
        <w:t xml:space="preserve">Know whether anything arrived damaged, and how much.</w:t>
      </w:r>
    </w:p>
    <w:p>
      <w:pPr>
        <w:shd w:val="clear" w:color="auto" w:fill="E7F4ED"/>
        <w:pBdr>
          <w:left w:val="single" w:sz="18" w:space="8" w:color="007E45"/>
        </w:pBdr>
        <w:ind w:left="200" w:right="200"/>
        <w:rPr>
          <w:sz w:val="20"/>
          <w:szCs w:val="20"/>
        </w:rPr>
      </w:pPr>
      <w:r>
        <w:rPr>
          <w:sz w:val="20"/>
          <w:szCs w:val="20"/>
          <w:b/>
        </w:rPr>
        <w:t xml:space="preserve">Screenshot 1 — Fuse Home with the Receiving tile</w:t>
      </w:r>
      <w:r>
        <w:rPr>
          <w:sz w:val="20"/>
          <w:szCs w:val="20"/>
        </w:rPr>
        <w:t xml:space="preserve"> </w:t>
      </w:r>
      <w:r>
        <w:rPr>
          <w:sz w:val="20"/>
          <w:szCs w:val="20"/>
          <w:i/>
        </w:rPr>
        <w:t xml:space="preserve">[to be inserted: Fuse Home, Quick Launch row, Receiving tile first]</w:t>
      </w:r>
    </w:p>
    <w:p>
      <w:pPr>
        <w:pStyle w:val="Heading1"/>
        <w:spacing w:before="320"/>
        <w:rPr>
          <w:color w:val="007E45"/>
          <w:sz w:val="32"/>
          <w:szCs w:val="32"/>
          <w:b/>
        </w:rPr>
      </w:pPr>
      <w:r>
        <w:rPr>
          <w:color w:val="007E45"/>
          <w:sz w:val="32"/>
          <w:szCs w:val="32"/>
          <w:b/>
        </w:rPr>
        <w:t xml:space="preserve">Finding the order</w:t>
      </w:r>
    </w:p>
    <w:p>
      <w:pPr>
        <w:pStyle w:val="ListParagraph"/>
        <w:numPr>
          <w:ilvl w:val="0"/>
          <w:numId w:val="3"/>
        </w:numPr>
        <w:rPr>
          <w:sz w:val="21"/>
          <w:szCs w:val="21"/>
        </w:rPr>
      </w:pPr>
      <w:r>
        <w:rPr>
          <w:sz w:val="21"/>
          <w:szCs w:val="21"/>
        </w:rPr>
        <w:t xml:space="preserve">On Fuse Home, click </w:t>
      </w:r>
      <w:r>
        <w:rPr>
          <w:sz w:val="21"/>
          <w:szCs w:val="21"/>
          <w:b/>
        </w:rPr>
        <w:t xml:space="preserve">Receiving</w:t>
      </w:r>
      <w:r>
        <w:rPr>
          <w:sz w:val="21"/>
          <w:szCs w:val="21"/>
        </w:rPr>
        <w:t xml:space="preserve">.</w:t>
      </w:r>
    </w:p>
    <w:p>
      <w:pPr>
        <w:pStyle w:val="ListParagraph"/>
        <w:numPr>
          <w:ilvl w:val="0"/>
          <w:numId w:val="3"/>
        </w:numPr>
        <w:rPr>
          <w:sz w:val="21"/>
          <w:szCs w:val="21"/>
        </w:rPr>
      </w:pPr>
      <w:r>
        <w:rPr>
          <w:sz w:val="21"/>
          <w:szCs w:val="21"/>
        </w:rPr>
        <w:t xml:space="preserve">A list opens showing every order still expecting a delivery: the Intacct order</w:t>
      </w:r>
    </w:p>
    <w:p>
      <w:pPr>
        <w:rPr>
          <w:sz w:val="21"/>
          <w:szCs w:val="21"/>
        </w:rPr>
      </w:pPr>
      <w:r>
        <w:rPr>
          <w:sz w:val="21"/>
          <w:szCs w:val="21"/>
        </w:rPr>
        <w:t xml:space="preserve">number, the supplier, when it was ordered, when it is due, and how much has been received so far.</w:t>
      </w:r>
    </w:p>
    <w:p>
      <w:pPr>
        <w:pStyle w:val="ListParagraph"/>
        <w:numPr>
          <w:ilvl w:val="0"/>
          <w:numId w:val="3"/>
        </w:numPr>
        <w:rPr>
          <w:sz w:val="21"/>
          <w:szCs w:val="21"/>
        </w:rPr>
      </w:pPr>
      <w:r>
        <w:rPr>
          <w:sz w:val="21"/>
          <w:szCs w:val="21"/>
        </w:rPr>
        <w:t xml:space="preserve">Use the search box to narrow the list. It matches the Intacct order number, the Fuse</w:t>
      </w:r>
    </w:p>
    <w:p>
      <w:pPr>
        <w:rPr>
          <w:sz w:val="21"/>
          <w:szCs w:val="21"/>
        </w:rPr>
      </w:pPr>
      <w:r>
        <w:rPr>
          <w:sz w:val="21"/>
          <w:szCs w:val="21"/>
        </w:rPr>
        <w:t xml:space="preserve">order number and the supplier's name — so whatever is printed on the paperwork in your hand will find it.</w:t>
      </w:r>
    </w:p>
    <w:p>
      <w:pPr>
        <w:pStyle w:val="ListParagraph"/>
        <w:numPr>
          <w:ilvl w:val="0"/>
          <w:numId w:val="3"/>
        </w:numPr>
        <w:rPr>
          <w:sz w:val="21"/>
          <w:szCs w:val="21"/>
        </w:rPr>
      </w:pPr>
      <w:r>
        <w:rPr>
          <w:sz w:val="21"/>
          <w:szCs w:val="21"/>
        </w:rPr>
        <w:t xml:space="preserve">Click the row.</w:t>
      </w:r>
    </w:p>
    <w:p>
      <w:pPr>
        <w:shd w:val="clear" w:color="auto" w:fill="E7F4ED"/>
        <w:pBdr>
          <w:left w:val="single" w:sz="18" w:space="8" w:color="007E45"/>
        </w:pBdr>
        <w:ind w:left="200" w:right="200"/>
        <w:rPr>
          <w:sz w:val="20"/>
          <w:szCs w:val="20"/>
        </w:rPr>
      </w:pPr>
      <w:r>
        <w:rPr>
          <w:sz w:val="20"/>
          <w:szCs w:val="20"/>
          <w:b/>
        </w:rPr>
        <w:t xml:space="preserve">Screenshot 2 — The list of orders awaiting delivery</w:t>
      </w:r>
      <w:r>
        <w:rPr>
          <w:sz w:val="20"/>
          <w:szCs w:val="20"/>
        </w:rPr>
        <w:t xml:space="preserve"> </w:t>
      </w:r>
      <w:r>
        <w:rPr>
          <w:sz w:val="20"/>
          <w:szCs w:val="20"/>
          <w:i/>
        </w:rPr>
        <w:t xml:space="preserve">[to be inserted: Receiving screen, order list]</w:t>
      </w:r>
    </w:p>
    <w:p>
      <w:pPr>
        <w:rPr>
          <w:sz w:val="21"/>
          <w:szCs w:val="21"/>
        </w:rPr>
      </w:pPr>
      <w:r>
        <w:rPr>
          <w:sz w:val="21"/>
          <w:szCs w:val="21"/>
        </w:rPr>
        <w:t xml:space="preserve">A fully received order drops off the list. That is deliberate: the list is what is still coming, not a history.</w:t>
      </w:r>
    </w:p>
    <w:p>
      <w:pPr>
        <w:pStyle w:val="Heading1"/>
        <w:spacing w:before="320"/>
        <w:rPr>
          <w:color w:val="007E45"/>
          <w:sz w:val="32"/>
          <w:szCs w:val="32"/>
          <w:b/>
        </w:rPr>
      </w:pPr>
      <w:r>
        <w:rPr>
          <w:color w:val="007E45"/>
          <w:sz w:val="32"/>
          <w:szCs w:val="32"/>
          <w:b/>
        </w:rPr>
        <w:t xml:space="preserve">Recording the delivery</w:t>
      </w:r>
    </w:p>
    <w:p>
      <w:pPr>
        <w:pStyle w:val="Heading2"/>
        <w:spacing w:before="240"/>
        <w:rPr>
          <w:color w:val="006034"/>
          <w:sz w:val="26"/>
          <w:szCs w:val="26"/>
          <w:b/>
        </w:rPr>
      </w:pPr>
      <w:r>
        <w:rPr>
          <w:color w:val="006034"/>
          <w:sz w:val="26"/>
          <w:szCs w:val="26"/>
          <w:b/>
        </w:rPr>
        <w:t xml:space="preserve">Step 1 — Read the lines</w:t>
      </w:r>
    </w:p>
    <w:p>
      <w:pPr>
        <w:rPr>
          <w:sz w:val="21"/>
          <w:szCs w:val="21"/>
        </w:rPr>
      </w:pPr>
      <w:r>
        <w:rPr>
          <w:sz w:val="21"/>
          <w:szCs w:val="21"/>
        </w:rPr>
        <w:t xml:space="preserve">The order opens with one row per ordered line, showing:</w:t>
      </w:r>
    </w:p>
    <w:tbl>
      <w:tblPr>
        <w:tblW w:w="9638" w:type="dxa"/>
        <w:tblBorders>
          <w:top w:val="single" w:sz="4" w:space="0" w:color="DCE5E0"/>
          <w:left w:val="single" w:sz="4" w:space="0" w:color="DCE5E0"/>
          <w:bottom w:val="single" w:sz="4" w:space="0" w:color="DCE5E0"/>
          <w:right w:val="single" w:sz="4" w:space="0" w:color="DCE5E0"/>
          <w:insideH w:val="single" w:sz="4" w:space="0" w:color="DCE5E0"/>
          <w:insideV w:val="single" w:sz="4" w:space="0" w:color="DCE5E0"/>
        </w:tblBorders>
        <w:tblCellMar>
          <w:top w:w="60" w:type="dxa"/>
          <w:bottom w:w="60" w:type="dxa"/>
          <w:left w:w="100" w:type="dxa"/>
          <w:right w:w="100" w:type="dxa"/>
        </w:tblCellMar>
      </w:tblPr>
      <w:tblGrid>
        <w:gridCol w:w="4819"/>
        <w:gridCol w:w="4819"/>
      </w:tblGrid>
      <w:tr>
        <w:trPr>
          <w:tblHeader/>
        </w:trPr>
        <w:tc>
          <w:tcPr>
            <w:tcW w:w="4819" w:type="dxa"/>
            <w:shd w:val="clear" w:color="auto" w:fill="E7F4ED"/>
          </w:tcPr>
          <w:p>
            <w:pPr>
              <w:rPr>
                <w:sz w:val="19"/>
                <w:szCs w:val="19"/>
                <w:b/>
              </w:rPr>
            </w:pPr>
            <w:r>
              <w:rPr>
                <w:sz w:val="19"/>
                <w:szCs w:val="19"/>
                <w:b/>
              </w:rPr>
              <w:t xml:space="preserve">Column</w:t>
            </w:r>
          </w:p>
        </w:tc>
        <w:tc>
          <w:tcPr>
            <w:tcW w:w="4819" w:type="dxa"/>
            <w:shd w:val="clear" w:color="auto" w:fill="E7F4ED"/>
          </w:tcPr>
          <w:p>
            <w:pPr>
              <w:rPr>
                <w:sz w:val="19"/>
                <w:szCs w:val="19"/>
                <w:b/>
              </w:rPr>
            </w:pPr>
            <w:r>
              <w:rPr>
                <w:sz w:val="19"/>
                <w:szCs w:val="19"/>
                <w:b/>
              </w:rPr>
              <w:t xml:space="preserve">What it tells you</w:t>
            </w:r>
          </w:p>
        </w:tc>
      </w:tr>
      <w:tr>
        <w:tc>
          <w:tcPr>
            <w:tcW w:w="4819" w:type="dxa"/>
          </w:tcPr>
          <w:p>
            <w:pPr>
              <w:rPr>
                <w:sz w:val="19"/>
                <w:szCs w:val="19"/>
              </w:rPr>
            </w:pPr>
            <w:r>
              <w:rPr>
                <w:sz w:val="19"/>
                <w:szCs w:val="19"/>
              </w:rPr>
              <w:t xml:space="preserve">Item</w:t>
            </w:r>
          </w:p>
        </w:tc>
        <w:tc>
          <w:tcPr>
            <w:tcW w:w="4819" w:type="dxa"/>
          </w:tcPr>
          <w:p>
            <w:pPr>
              <w:rPr>
                <w:sz w:val="19"/>
                <w:szCs w:val="19"/>
              </w:rPr>
            </w:pPr>
            <w:r>
              <w:rPr>
                <w:sz w:val="19"/>
                <w:szCs w:val="19"/>
              </w:rPr>
              <w:t xml:space="preserve">What was ordered, and which warehouse it is going into</w:t>
            </w:r>
          </w:p>
        </w:tc>
      </w:tr>
      <w:tr>
        <w:tc>
          <w:tcPr>
            <w:tcW w:w="4819" w:type="dxa"/>
          </w:tcPr>
          <w:p>
            <w:pPr>
              <w:rPr>
                <w:sz w:val="19"/>
                <w:szCs w:val="19"/>
              </w:rPr>
            </w:pPr>
            <w:r>
              <w:rPr>
                <w:sz w:val="19"/>
                <w:szCs w:val="19"/>
              </w:rPr>
              <w:t xml:space="preserve">Ordered</w:t>
            </w:r>
          </w:p>
        </w:tc>
        <w:tc>
          <w:tcPr>
            <w:tcW w:w="4819" w:type="dxa"/>
          </w:tcPr>
          <w:p>
            <w:pPr>
              <w:rPr>
                <w:sz w:val="19"/>
                <w:szCs w:val="19"/>
              </w:rPr>
            </w:pPr>
            <w:r>
              <w:rPr>
                <w:sz w:val="19"/>
                <w:szCs w:val="19"/>
              </w:rPr>
              <w:t xml:space="preserve">The full quantity on the order</w:t>
            </w:r>
          </w:p>
        </w:tc>
      </w:tr>
      <w:tr>
        <w:tc>
          <w:tcPr>
            <w:tcW w:w="4819" w:type="dxa"/>
          </w:tcPr>
          <w:p>
            <w:pPr>
              <w:rPr>
                <w:sz w:val="19"/>
                <w:szCs w:val="19"/>
              </w:rPr>
            </w:pPr>
            <w:r>
              <w:rPr>
                <w:sz w:val="19"/>
                <w:szCs w:val="19"/>
              </w:rPr>
              <w:t xml:space="preserve">Received</w:t>
            </w:r>
          </w:p>
        </w:tc>
        <w:tc>
          <w:tcPr>
            <w:tcW w:w="4819" w:type="dxa"/>
          </w:tcPr>
          <w:p>
            <w:pPr>
              <w:rPr>
                <w:sz w:val="19"/>
                <w:szCs w:val="19"/>
              </w:rPr>
            </w:pPr>
            <w:r>
              <w:rPr>
                <w:sz w:val="19"/>
                <w:szCs w:val="19"/>
              </w:rPr>
              <w:t xml:space="preserve">How much has already been booked in against that line</w:t>
            </w:r>
          </w:p>
        </w:tc>
      </w:tr>
      <w:tr>
        <w:tc>
          <w:tcPr>
            <w:tcW w:w="4819" w:type="dxa"/>
          </w:tcPr>
          <w:p>
            <w:pPr>
              <w:rPr>
                <w:sz w:val="19"/>
                <w:szCs w:val="19"/>
              </w:rPr>
            </w:pPr>
            <w:r>
              <w:rPr>
                <w:sz w:val="19"/>
                <w:szCs w:val="19"/>
              </w:rPr>
              <w:t xml:space="preserve">Outstanding</w:t>
            </w:r>
          </w:p>
        </w:tc>
        <w:tc>
          <w:tcPr>
            <w:tcW w:w="4819" w:type="dxa"/>
          </w:tcPr>
          <w:p>
            <w:pPr>
              <w:rPr>
                <w:sz w:val="19"/>
                <w:szCs w:val="19"/>
              </w:rPr>
            </w:pPr>
            <w:r>
              <w:rPr>
                <w:sz w:val="19"/>
                <w:szCs w:val="19"/>
              </w:rPr>
              <w:t xml:space="preserve">What is still owed — ordered less received</w:t>
            </w:r>
          </w:p>
        </w:tc>
      </w:tr>
      <w:tr>
        <w:tc>
          <w:tcPr>
            <w:tcW w:w="4819" w:type="dxa"/>
          </w:tcPr>
          <w:p>
            <w:pPr>
              <w:rPr>
                <w:sz w:val="19"/>
                <w:szCs w:val="19"/>
              </w:rPr>
            </w:pPr>
            <w:r>
              <w:rPr>
                <w:sz w:val="19"/>
                <w:szCs w:val="19"/>
              </w:rPr>
              <w:t xml:space="preserve">Accept</w:t>
            </w:r>
          </w:p>
        </w:tc>
        <w:tc>
          <w:tcPr>
            <w:tcW w:w="4819" w:type="dxa"/>
          </w:tcPr>
          <w:p>
            <w:pPr>
              <w:rPr>
                <w:sz w:val="19"/>
                <w:szCs w:val="19"/>
              </w:rPr>
            </w:pPr>
            <w:r>
              <w:rPr>
                <w:sz w:val="19"/>
                <w:szCs w:val="19"/>
              </w:rPr>
              <w:t xml:space="preserve">What you are booking in now, in good condition</w:t>
            </w:r>
          </w:p>
        </w:tc>
      </w:tr>
      <w:tr>
        <w:tc>
          <w:tcPr>
            <w:tcW w:w="4819" w:type="dxa"/>
          </w:tcPr>
          <w:p>
            <w:pPr>
              <w:rPr>
                <w:sz w:val="19"/>
                <w:szCs w:val="19"/>
              </w:rPr>
            </w:pPr>
            <w:r>
              <w:rPr>
                <w:sz w:val="19"/>
                <w:szCs w:val="19"/>
              </w:rPr>
              <w:t xml:space="preserve">Reject</w:t>
            </w:r>
          </w:p>
        </w:tc>
        <w:tc>
          <w:tcPr>
            <w:tcW w:w="4819" w:type="dxa"/>
          </w:tcPr>
          <w:p>
            <w:pPr>
              <w:rPr>
                <w:sz w:val="19"/>
                <w:szCs w:val="19"/>
              </w:rPr>
            </w:pPr>
            <w:r>
              <w:rPr>
                <w:sz w:val="19"/>
                <w:szCs w:val="19"/>
              </w:rPr>
              <w:t xml:space="preserve">What arrived damaged or wrong</w:t>
            </w:r>
          </w:p>
        </w:tc>
      </w:tr>
      <w:tr>
        <w:tc>
          <w:tcPr>
            <w:tcW w:w="4819" w:type="dxa"/>
          </w:tcPr>
          <w:p>
            <w:pPr>
              <w:rPr>
                <w:sz w:val="19"/>
                <w:szCs w:val="19"/>
              </w:rPr>
            </w:pPr>
            <w:r>
              <w:rPr>
                <w:sz w:val="19"/>
                <w:szCs w:val="19"/>
              </w:rPr>
              <w:t xml:space="preserve">Lot</w:t>
            </w:r>
          </w:p>
        </w:tc>
        <w:tc>
          <w:tcPr>
            <w:tcW w:w="4819" w:type="dxa"/>
          </w:tcPr>
          <w:p>
            <w:pPr>
              <w:rPr>
                <w:sz w:val="19"/>
                <w:szCs w:val="19"/>
              </w:rPr>
            </w:pPr>
            <w:r>
              <w:rPr>
                <w:sz w:val="19"/>
                <w:szCs w:val="19"/>
              </w:rPr>
              <w:t xml:space="preserve">The lot number, where Intacct tracks lots on that item</w:t>
            </w:r>
          </w:p>
        </w:tc>
      </w:tr>
    </w:tbl>
    <w:p/>
    <w:p>
      <w:pPr>
        <w:shd w:val="clear" w:color="auto" w:fill="E7F4ED"/>
        <w:pBdr>
          <w:left w:val="single" w:sz="18" w:space="8" w:color="007E45"/>
        </w:pBdr>
        <w:ind w:left="200" w:right="200"/>
        <w:rPr>
          <w:sz w:val="20"/>
          <w:szCs w:val="20"/>
        </w:rPr>
      </w:pPr>
      <w:r>
        <w:rPr>
          <w:sz w:val="20"/>
          <w:szCs w:val="20"/>
          <w:b/>
        </w:rPr>
        <w:t xml:space="preserve">Screenshot 3 — An open order with its lines</w:t>
      </w:r>
      <w:r>
        <w:rPr>
          <w:sz w:val="20"/>
          <w:szCs w:val="20"/>
        </w:rPr>
        <w:t xml:space="preserve"> </w:t>
      </w:r>
      <w:r>
        <w:rPr>
          <w:sz w:val="20"/>
          <w:szCs w:val="20"/>
          <w:i/>
        </w:rPr>
        <w:t xml:space="preserve">[to be inserted: Receiving screen, order detail with the line table]</w:t>
      </w:r>
    </w:p>
    <w:p>
      <w:pPr>
        <w:pStyle w:val="Heading2"/>
        <w:spacing w:before="240"/>
        <w:rPr>
          <w:color w:val="006034"/>
          <w:sz w:val="26"/>
          <w:szCs w:val="26"/>
          <w:b/>
        </w:rPr>
      </w:pPr>
      <w:r>
        <w:rPr>
          <w:color w:val="006034"/>
          <w:sz w:val="26"/>
          <w:szCs w:val="26"/>
          <w:b/>
        </w:rPr>
        <w:t xml:space="preserve">Step 2 — Enter what arrived</w:t>
      </w:r>
    </w:p>
    <w:p>
      <w:pPr>
        <w:rPr>
          <w:sz w:val="21"/>
          <w:szCs w:val="21"/>
        </w:rPr>
      </w:pPr>
      <w:r>
        <w:rPr>
          <w:sz w:val="21"/>
          <w:szCs w:val="21"/>
        </w:rPr>
        <w:t xml:space="preserve">Type the accepted quantity against each line. You do not have to fill in every line — receive what came, and the rest stays outstanding.</w:t>
      </w:r>
    </w:p>
    <w:p>
      <w:pPr>
        <w:rPr>
          <w:sz w:val="21"/>
          <w:szCs w:val="21"/>
        </w:rPr>
      </w:pPr>
      <w:r>
        <w:rPr>
          <w:sz w:val="21"/>
          <w:szCs w:val="21"/>
        </w:rPr>
        <w:t xml:space="preserve">If you have a scanner, scan the item instead. Each scan steps that line's accepted quantity up by one and flashes the row, which is what counting cartons off a pallet actually is. Scanning something that is not on this order tells you so rather than silently doing nothing.</w:t>
      </w:r>
    </w:p>
    <w:p>
      <w:pPr>
        <w:rPr>
          <w:sz w:val="21"/>
          <w:szCs w:val="21"/>
        </w:rPr>
      </w:pPr>
      <w:r>
        <w:rPr>
          <w:sz w:val="21"/>
          <w:szCs w:val="21"/>
          <w:b/>
        </w:rPr>
        <w:t xml:space="preserve">Rejects.</w:t>
      </w:r>
      <w:r>
        <w:rPr>
          <w:sz w:val="21"/>
          <w:szCs w:val="21"/>
        </w:rPr>
        <w:t xml:space="preserve"> Enter damaged quantities in the Reject column. They go to the receiving rejects warehouse, not into good stock, and they still count against the order — the supplier delivered them and will invoice for them.</w:t>
      </w:r>
    </w:p>
    <w:p>
      <w:pPr>
        <w:rPr>
          <w:sz w:val="21"/>
          <w:szCs w:val="21"/>
        </w:rPr>
      </w:pPr>
      <w:r>
        <w:rPr>
          <w:sz w:val="21"/>
          <w:szCs w:val="21"/>
        </w:rPr>
        <w:t xml:space="preserve">If the Reject box is greyed out, no rejects warehouse has been set up. Speak to your administrator; do not book damaged goods in as accepted.</w:t>
      </w:r>
    </w:p>
    <w:p>
      <w:pPr>
        <w:rPr>
          <w:sz w:val="21"/>
          <w:szCs w:val="21"/>
        </w:rPr>
      </w:pPr>
      <w:r>
        <w:rPr>
          <w:sz w:val="21"/>
          <w:szCs w:val="21"/>
          <w:b/>
        </w:rPr>
        <w:t xml:space="preserve">Lot numbers.</w:t>
      </w:r>
      <w:r>
        <w:rPr>
          <w:sz w:val="21"/>
          <w:szCs w:val="21"/>
        </w:rPr>
        <w:t xml:space="preserve"> Where a line asks for a lot, Intacct tracks lots on that item and the number is required. Where it says </w:t>
      </w:r>
      <w:r>
        <w:rPr>
          <w:sz w:val="21"/>
          <w:szCs w:val="21"/>
          <w:i/>
        </w:rPr>
        <w:t xml:space="preserve">not tracked</w:t>
      </w:r>
      <w:r>
        <w:rPr>
          <w:sz w:val="21"/>
          <w:szCs w:val="21"/>
        </w:rPr>
        <w:t xml:space="preserve">, Intacct does not want one and sending one would be refused.</w:t>
      </w:r>
    </w:p>
    <w:p>
      <w:pPr>
        <w:pStyle w:val="Heading2"/>
        <w:spacing w:before="240"/>
        <w:rPr>
          <w:color w:val="006034"/>
          <w:sz w:val="26"/>
          <w:szCs w:val="26"/>
          <w:b/>
        </w:rPr>
      </w:pPr>
      <w:r>
        <w:rPr>
          <w:color w:val="006034"/>
          <w:sz w:val="26"/>
          <w:szCs w:val="26"/>
          <w:b/>
        </w:rPr>
        <w:t xml:space="preserve">Step 3 — Finish</w:t>
      </w:r>
    </w:p>
    <w:p>
      <w:pPr>
        <w:pStyle w:val="ListParagraph"/>
        <w:numPr>
          <w:ilvl w:val="0"/>
          <w:numId w:val="3"/>
        </w:numPr>
        <w:rPr>
          <w:sz w:val="21"/>
          <w:szCs w:val="21"/>
        </w:rPr>
      </w:pPr>
      <w:r>
        <w:rPr>
          <w:sz w:val="21"/>
          <w:szCs w:val="21"/>
        </w:rPr>
        <w:t xml:space="preserve">Enter the supplier's </w:t>
      </w:r>
      <w:r>
        <w:rPr>
          <w:sz w:val="21"/>
          <w:szCs w:val="21"/>
          <w:b/>
        </w:rPr>
        <w:t xml:space="preserve">delivery note or invoice number</w:t>
      </w:r>
      <w:r>
        <w:rPr>
          <w:sz w:val="21"/>
          <w:szCs w:val="21"/>
        </w:rPr>
        <w:t xml:space="preserve">.</w:t>
      </w:r>
    </w:p>
    <w:p>
      <w:pPr>
        <w:pStyle w:val="ListParagraph"/>
        <w:numPr>
          <w:ilvl w:val="0"/>
          <w:numId w:val="3"/>
        </w:numPr>
        <w:rPr>
          <w:sz w:val="21"/>
          <w:szCs w:val="21"/>
        </w:rPr>
      </w:pPr>
      <w:r>
        <w:rPr>
          <w:sz w:val="21"/>
          <w:szCs w:val="21"/>
        </w:rPr>
        <w:t xml:space="preserve">Check the </w:t>
      </w:r>
      <w:r>
        <w:rPr>
          <w:sz w:val="21"/>
          <w:szCs w:val="21"/>
          <w:b/>
        </w:rPr>
        <w:t xml:space="preserve">Received on</w:t>
      </w:r>
      <w:r>
        <w:rPr>
          <w:sz w:val="21"/>
          <w:szCs w:val="21"/>
        </w:rPr>
        <w:t xml:space="preserve"> date. It defaults to today.</w:t>
      </w:r>
    </w:p>
    <w:p>
      <w:pPr>
        <w:pStyle w:val="ListParagraph"/>
        <w:numPr>
          <w:ilvl w:val="0"/>
          <w:numId w:val="3"/>
        </w:numPr>
        <w:rPr>
          <w:sz w:val="21"/>
          <w:szCs w:val="21"/>
        </w:rPr>
      </w:pPr>
      <w:r>
        <w:rPr>
          <w:sz w:val="21"/>
          <w:szCs w:val="21"/>
        </w:rPr>
        <w:t xml:space="preserve">Click </w:t>
      </w:r>
      <w:r>
        <w:rPr>
          <w:sz w:val="21"/>
          <w:szCs w:val="21"/>
          <w:b/>
        </w:rPr>
        <w:t xml:space="preserve">Record the delivery</w:t>
      </w:r>
      <w:r>
        <w:rPr>
          <w:sz w:val="21"/>
          <w:szCs w:val="21"/>
        </w:rPr>
        <w:t xml:space="preserve">.</w:t>
      </w:r>
    </w:p>
    <w:p>
      <w:pPr>
        <w:rPr>
          <w:sz w:val="21"/>
          <w:szCs w:val="21"/>
        </w:rPr>
      </w:pPr>
      <w:r>
        <w:rPr>
          <w:sz w:val="21"/>
          <w:szCs w:val="21"/>
        </w:rPr>
        <w:t xml:space="preserve">Fuse sends the receipt to Intacct, waits for it to be accepted, and only then books the stock in here.</w:t>
      </w:r>
    </w:p>
    <w:p>
      <w:pPr>
        <w:shd w:val="clear" w:color="auto" w:fill="E7F4ED"/>
        <w:pBdr>
          <w:left w:val="single" w:sz="18" w:space="8" w:color="007E45"/>
        </w:pBdr>
        <w:ind w:left="200" w:right="200"/>
        <w:rPr>
          <w:sz w:val="20"/>
          <w:szCs w:val="20"/>
        </w:rPr>
      </w:pPr>
      <w:r>
        <w:rPr>
          <w:sz w:val="20"/>
          <w:szCs w:val="20"/>
          <w:b/>
        </w:rPr>
        <w:t xml:space="preserve">Screenshot 4 — The finish bar</w:t>
      </w:r>
      <w:r>
        <w:rPr>
          <w:sz w:val="20"/>
          <w:szCs w:val="20"/>
        </w:rPr>
        <w:t xml:space="preserve"> </w:t>
      </w:r>
      <w:r>
        <w:rPr>
          <w:sz w:val="20"/>
          <w:szCs w:val="20"/>
          <w:i/>
        </w:rPr>
        <w:t xml:space="preserve">[to be inserted: supplier delivery note, date, Record the delivery button]</w:t>
      </w:r>
    </w:p>
    <w:p>
      <w:pPr>
        <w:pStyle w:val="Heading1"/>
        <w:spacing w:before="320"/>
        <w:rPr>
          <w:color w:val="007E45"/>
          <w:sz w:val="32"/>
          <w:szCs w:val="32"/>
          <w:b/>
        </w:rPr>
      </w:pPr>
      <w:r>
        <w:rPr>
          <w:color w:val="007E45"/>
          <w:sz w:val="32"/>
          <w:szCs w:val="32"/>
          <w:b/>
        </w:rPr>
        <w:t xml:space="preserve">Receiving part of an order</w:t>
      </w:r>
    </w:p>
    <w:p>
      <w:pPr>
        <w:rPr>
          <w:sz w:val="21"/>
          <w:szCs w:val="21"/>
        </w:rPr>
      </w:pPr>
      <w:r>
        <w:rPr>
          <w:sz w:val="21"/>
          <w:szCs w:val="21"/>
        </w:rPr>
        <w:t xml:space="preserve">You do not have to receive a whole order at once. Book in what arrived; the order stays open with the balance outstanding, and the next delivery is recorded the same way.</w:t>
      </w:r>
    </w:p>
    <w:p>
      <w:pPr>
        <w:rPr>
          <w:sz w:val="21"/>
          <w:szCs w:val="21"/>
        </w:rPr>
      </w:pPr>
      <w:r>
        <w:rPr>
          <w:sz w:val="21"/>
          <w:szCs w:val="21"/>
        </w:rPr>
        <w:t xml:space="preserve">This is the normal way to work when a supplier splits a delivery.</w:t>
      </w:r>
    </w:p>
    <w:p>
      <w:pPr>
        <w:pStyle w:val="Heading1"/>
        <w:spacing w:before="320"/>
        <w:rPr>
          <w:color w:val="007E45"/>
          <w:sz w:val="32"/>
          <w:szCs w:val="32"/>
          <w:b/>
        </w:rPr>
      </w:pPr>
      <w:r>
        <w:rPr>
          <w:color w:val="007E45"/>
          <w:sz w:val="32"/>
          <w:szCs w:val="32"/>
          <w:b/>
        </w:rPr>
        <w:t xml:space="preserve">If something goes wrong</w:t>
      </w:r>
    </w:p>
    <w:tbl>
      <w:tblPr>
        <w:tblW w:w="9638" w:type="dxa"/>
        <w:tblBorders>
          <w:top w:val="single" w:sz="4" w:space="0" w:color="DCE5E0"/>
          <w:left w:val="single" w:sz="4" w:space="0" w:color="DCE5E0"/>
          <w:bottom w:val="single" w:sz="4" w:space="0" w:color="DCE5E0"/>
          <w:right w:val="single" w:sz="4" w:space="0" w:color="DCE5E0"/>
          <w:insideH w:val="single" w:sz="4" w:space="0" w:color="DCE5E0"/>
          <w:insideV w:val="single" w:sz="4" w:space="0" w:color="DCE5E0"/>
        </w:tblBorders>
        <w:tblCellMar>
          <w:top w:w="60" w:type="dxa"/>
          <w:bottom w:w="60" w:type="dxa"/>
          <w:left w:w="100" w:type="dxa"/>
          <w:right w:w="100" w:type="dxa"/>
        </w:tblCellMar>
      </w:tblPr>
      <w:tblGrid>
        <w:gridCol w:w="4819"/>
        <w:gridCol w:w="4819"/>
      </w:tblGrid>
      <w:tr>
        <w:trPr>
          <w:tblHeader/>
        </w:trPr>
        <w:tc>
          <w:tcPr>
            <w:tcW w:w="4819" w:type="dxa"/>
            <w:shd w:val="clear" w:color="auto" w:fill="E7F4ED"/>
          </w:tcPr>
          <w:p>
            <w:pPr>
              <w:rPr>
                <w:sz w:val="19"/>
                <w:szCs w:val="19"/>
                <w:b/>
              </w:rPr>
            </w:pPr>
            <w:r>
              <w:rPr>
                <w:sz w:val="19"/>
                <w:szCs w:val="19"/>
                <w:b/>
              </w:rPr>
              <w:t xml:space="preserve">What you see</w:t>
            </w:r>
          </w:p>
        </w:tc>
        <w:tc>
          <w:tcPr>
            <w:tcW w:w="4819" w:type="dxa"/>
            <w:shd w:val="clear" w:color="auto" w:fill="E7F4ED"/>
          </w:tcPr>
          <w:p>
            <w:pPr>
              <w:rPr>
                <w:sz w:val="19"/>
                <w:szCs w:val="19"/>
                <w:b/>
              </w:rPr>
            </w:pPr>
            <w:r>
              <w:rPr>
                <w:sz w:val="19"/>
                <w:szCs w:val="19"/>
                <w:b/>
              </w:rPr>
              <w:t xml:space="preserve">What it means and what to do</w:t>
            </w:r>
          </w:p>
        </w:tc>
      </w:tr>
      <w:tr>
        <w:tc>
          <w:tcPr>
            <w:tcW w:w="4819" w:type="dxa"/>
          </w:tcPr>
          <w:p>
            <w:pPr>
              <w:rPr>
                <w:sz w:val="19"/>
                <w:szCs w:val="19"/>
              </w:rPr>
            </w:pPr>
            <w:r>
              <w:rPr>
                <w:sz w:val="19"/>
                <w:szCs w:val="19"/>
              </w:rPr>
              <w:t xml:space="preserve">More is being received than this order expects</w:t>
            </w:r>
          </w:p>
        </w:tc>
        <w:tc>
          <w:tcPr>
            <w:tcW w:w="4819" w:type="dxa"/>
          </w:tcPr>
          <w:p>
            <w:pPr>
              <w:rPr>
                <w:sz w:val="19"/>
                <w:szCs w:val="19"/>
              </w:rPr>
            </w:pPr>
            <w:r>
              <w:rPr>
                <w:sz w:val="19"/>
                <w:szCs w:val="19"/>
              </w:rPr>
              <w:t xml:space="preserve">You have entered more than is outstanding. Check the quantity. If it really did arrive, confirm the prompt — but the system may still refuse it, and that is a decision your administrator controls.</w:t>
            </w:r>
          </w:p>
        </w:tc>
      </w:tr>
      <w:tr>
        <w:tc>
          <w:tcPr>
            <w:tcW w:w="4819" w:type="dxa"/>
          </w:tcPr>
          <w:p>
            <w:pPr>
              <w:rPr>
                <w:sz w:val="19"/>
                <w:szCs w:val="19"/>
              </w:rPr>
            </w:pPr>
            <w:r>
              <w:rPr>
                <w:sz w:val="19"/>
                <w:szCs w:val="19"/>
              </w:rPr>
              <w:t xml:space="preserve">No Intacct definition is mapped for "Receiving goods"</w:t>
            </w:r>
          </w:p>
        </w:tc>
        <w:tc>
          <w:tcPr>
            <w:tcW w:w="4819" w:type="dxa"/>
          </w:tcPr>
          <w:p>
            <w:pPr>
              <w:rPr>
                <w:sz w:val="19"/>
                <w:szCs w:val="19"/>
              </w:rPr>
            </w:pPr>
            <w:r>
              <w:rPr>
                <w:sz w:val="19"/>
                <w:szCs w:val="19"/>
              </w:rPr>
              <w:t xml:space="preserve">Fuse does not know which Intacct document to create. An administrator sets this under Transactions in Intacct Settings. Nothing is recorded until they do.</w:t>
            </w:r>
          </w:p>
        </w:tc>
      </w:tr>
      <w:tr>
        <w:tc>
          <w:tcPr>
            <w:tcW w:w="4819" w:type="dxa"/>
          </w:tcPr>
          <w:p>
            <w:pPr>
              <w:rPr>
                <w:sz w:val="19"/>
                <w:szCs w:val="19"/>
              </w:rPr>
            </w:pPr>
            <w:r>
              <w:rPr>
                <w:sz w:val="19"/>
                <w:szCs w:val="19"/>
              </w:rPr>
              <w:t xml:space="preserve">A rejected quantity was captured but no rejects warehouse is set</w:t>
            </w:r>
          </w:p>
        </w:tc>
        <w:tc>
          <w:tcPr>
            <w:tcW w:w="4819" w:type="dxa"/>
          </w:tcPr>
          <w:p>
            <w:pPr>
              <w:rPr>
                <w:sz w:val="19"/>
                <w:szCs w:val="19"/>
              </w:rPr>
            </w:pPr>
            <w:r>
              <w:rPr>
                <w:sz w:val="19"/>
                <w:szCs w:val="19"/>
              </w:rPr>
              <w:t xml:space="preserve">Rejected stock has nowhere to go. An administrator sets the receiving rejects warehouse in Intacct Settings.</w:t>
            </w:r>
          </w:p>
        </w:tc>
      </w:tr>
      <w:tr>
        <w:tc>
          <w:tcPr>
            <w:tcW w:w="4819" w:type="dxa"/>
          </w:tcPr>
          <w:p>
            <w:pPr>
              <w:rPr>
                <w:sz w:val="19"/>
                <w:szCs w:val="19"/>
              </w:rPr>
            </w:pPr>
            <w:r>
              <w:rPr>
                <w:sz w:val="19"/>
                <w:szCs w:val="19"/>
              </w:rPr>
              <w:t xml:space="preserve">This receipt covers more than one purchase order</w:t>
            </w:r>
          </w:p>
        </w:tc>
        <w:tc>
          <w:tcPr>
            <w:tcW w:w="4819" w:type="dxa"/>
          </w:tcPr>
          <w:p>
            <w:pPr>
              <w:rPr>
                <w:sz w:val="19"/>
                <w:szCs w:val="19"/>
              </w:rPr>
            </w:pPr>
            <w:r>
              <w:rPr>
                <w:sz w:val="19"/>
                <w:szCs w:val="19"/>
              </w:rPr>
              <w:t xml:space="preserve">Intacct receives one order at a time. Record a separate delivery for each order.</w:t>
            </w:r>
          </w:p>
        </w:tc>
      </w:tr>
      <w:tr>
        <w:tc>
          <w:tcPr>
            <w:tcW w:w="4819" w:type="dxa"/>
          </w:tcPr>
          <w:p>
            <w:pPr>
              <w:rPr>
                <w:sz w:val="19"/>
                <w:szCs w:val="19"/>
              </w:rPr>
            </w:pPr>
            <w:r>
              <w:rPr>
                <w:sz w:val="19"/>
                <w:szCs w:val="19"/>
              </w:rPr>
              <w:t xml:space="preserve">The ordered line carries no Intacct line key</w:t>
            </w:r>
          </w:p>
        </w:tc>
        <w:tc>
          <w:tcPr>
            <w:tcW w:w="4819" w:type="dxa"/>
          </w:tcPr>
          <w:p>
            <w:pPr>
              <w:rPr>
                <w:sz w:val="19"/>
                <w:szCs w:val="19"/>
              </w:rPr>
            </w:pPr>
            <w:r>
              <w:rPr>
                <w:sz w:val="19"/>
                <w:szCs w:val="19"/>
              </w:rPr>
              <w:t xml:space="preserve">The order mirror is out of date. An administrator re-runs the purchase order sync, then you receive again.</w:t>
            </w:r>
          </w:p>
        </w:tc>
      </w:tr>
      <w:tr>
        <w:tc>
          <w:tcPr>
            <w:tcW w:w="4819" w:type="dxa"/>
          </w:tcPr>
          <w:p>
            <w:pPr>
              <w:rPr>
                <w:sz w:val="19"/>
                <w:szCs w:val="19"/>
              </w:rPr>
            </w:pPr>
            <w:r>
              <w:rPr>
                <w:sz w:val="19"/>
                <w:szCs w:val="19"/>
              </w:rPr>
              <w:t xml:space="preserve">Intacct rejected the request</w:t>
            </w:r>
          </w:p>
        </w:tc>
        <w:tc>
          <w:tcPr>
            <w:tcW w:w="4819" w:type="dxa"/>
          </w:tcPr>
          <w:p>
            <w:pPr>
              <w:rPr>
                <w:sz w:val="19"/>
                <w:szCs w:val="19"/>
              </w:rPr>
            </w:pPr>
            <w:r>
              <w:rPr>
                <w:sz w:val="19"/>
                <w:szCs w:val="19"/>
              </w:rPr>
              <w:t xml:space="preserve">Nothing has been recorded anywhere. Read the reason; if you cannot fix it, send it to your administrator.</w:t>
            </w:r>
          </w:p>
        </w:tc>
      </w:tr>
    </w:tbl>
    <w:p/>
    <w:p>
      <w:pPr>
        <w:pStyle w:val="Heading1"/>
        <w:spacing w:before="320"/>
        <w:rPr>
          <w:color w:val="007E45"/>
          <w:sz w:val="32"/>
          <w:szCs w:val="32"/>
          <w:b/>
        </w:rPr>
      </w:pPr>
      <w:r>
        <w:rPr>
          <w:color w:val="007E45"/>
          <w:sz w:val="32"/>
          <w:szCs w:val="32"/>
          <w:b/>
        </w:rPr>
        <w:t xml:space="preserve">Two rules that apply to everything in Fuse</w:t>
      </w:r>
    </w:p>
    <w:p>
      <w:pPr>
        <w:pStyle w:val="Heading2"/>
        <w:spacing w:before="240"/>
        <w:rPr>
          <w:color w:val="006034"/>
          <w:sz w:val="26"/>
          <w:szCs w:val="26"/>
          <w:b/>
        </w:rPr>
      </w:pPr>
      <w:r>
        <w:rPr>
          <w:color w:val="006034"/>
          <w:sz w:val="26"/>
          <w:szCs w:val="26"/>
          <w:b/>
        </w:rPr>
        <w:t xml:space="preserve">Saving is not submitting</w:t>
      </w:r>
    </w:p>
    <w:p>
      <w:pPr>
        <w:rPr>
          <w:sz w:val="21"/>
          <w:szCs w:val="21"/>
        </w:rPr>
      </w:pPr>
      <w:r>
        <w:rPr>
          <w:sz w:val="21"/>
          <w:szCs w:val="21"/>
        </w:rPr>
        <w:t xml:space="preserve">A receipt is only real once you click Record. Until then nothing has moved, in Fuse or in Intacct.</w:t>
      </w:r>
    </w:p>
    <w:p>
      <w:pPr>
        <w:pStyle w:val="Heading2"/>
        <w:spacing w:before="240"/>
        <w:rPr>
          <w:color w:val="006034"/>
          <w:sz w:val="26"/>
          <w:szCs w:val="26"/>
          <w:b/>
        </w:rPr>
      </w:pPr>
      <w:r>
        <w:rPr>
          <w:color w:val="006034"/>
          <w:sz w:val="26"/>
          <w:szCs w:val="26"/>
          <w:b/>
        </w:rPr>
        <w:t xml:space="preserve">Cancel, never delete</w:t>
      </w:r>
    </w:p>
    <w:p>
      <w:pPr>
        <w:rPr>
          <w:sz w:val="21"/>
          <w:szCs w:val="21"/>
        </w:rPr>
      </w:pPr>
      <w:r>
        <w:rPr>
          <w:sz w:val="21"/>
          <w:szCs w:val="21"/>
        </w:rPr>
        <w:t xml:space="preserve">A recorded receipt cannot be cancelled in Fuse, because undoing a receipt in Intacct is a separate transaction there. If you record a delivery wrongly, tell your administrator — it is reversed in Intacct first, not here.</w:t>
      </w:r>
    </w:p>
    <w:p>
      <w:pPr>
        <w:pStyle w:val="Heading1"/>
        <w:spacing w:before="320"/>
        <w:rPr>
          <w:color w:val="007E45"/>
          <w:sz w:val="32"/>
          <w:szCs w:val="32"/>
          <w:b/>
        </w:rPr>
      </w:pPr>
      <w:r>
        <w:rPr>
          <w:color w:val="007E45"/>
          <w:sz w:val="32"/>
          <w:szCs w:val="32"/>
          <w:b/>
        </w:rPr>
        <w:t xml:space="preserve">Jobs that belong in Intacct</w:t>
      </w:r>
    </w:p>
    <w:tbl>
      <w:tblPr>
        <w:tblW w:w="9638" w:type="dxa"/>
        <w:tblBorders>
          <w:top w:val="single" w:sz="4" w:space="0" w:color="DCE5E0"/>
          <w:left w:val="single" w:sz="4" w:space="0" w:color="DCE5E0"/>
          <w:bottom w:val="single" w:sz="4" w:space="0" w:color="DCE5E0"/>
          <w:right w:val="single" w:sz="4" w:space="0" w:color="DCE5E0"/>
          <w:insideH w:val="single" w:sz="4" w:space="0" w:color="DCE5E0"/>
          <w:insideV w:val="single" w:sz="4" w:space="0" w:color="DCE5E0"/>
        </w:tblBorders>
        <w:tblCellMar>
          <w:top w:w="60" w:type="dxa"/>
          <w:bottom w:w="60" w:type="dxa"/>
          <w:left w:w="100" w:type="dxa"/>
          <w:right w:w="100" w:type="dxa"/>
        </w:tblCellMar>
      </w:tblPr>
      <w:tblGrid>
        <w:gridCol w:w="4819"/>
        <w:gridCol w:w="4819"/>
      </w:tblGrid>
      <w:tr>
        <w:trPr>
          <w:tblHeader/>
        </w:trPr>
        <w:tc>
          <w:tcPr>
            <w:tcW w:w="4819" w:type="dxa"/>
            <w:shd w:val="clear" w:color="auto" w:fill="E7F4ED"/>
          </w:tcPr>
          <w:p>
            <w:pPr>
              <w:rPr>
                <w:sz w:val="19"/>
                <w:szCs w:val="19"/>
                <w:b/>
              </w:rPr>
            </w:pPr>
            <w:r>
              <w:rPr>
                <w:sz w:val="19"/>
                <w:szCs w:val="19"/>
                <w:b/>
              </w:rPr>
              <w:t xml:space="preserve">If you try to</w:t>
            </w:r>
          </w:p>
        </w:tc>
        <w:tc>
          <w:tcPr>
            <w:tcW w:w="4819" w:type="dxa"/>
            <w:shd w:val="clear" w:color="auto" w:fill="E7F4ED"/>
          </w:tcPr>
          <w:p>
            <w:pPr>
              <w:rPr>
                <w:sz w:val="19"/>
                <w:szCs w:val="19"/>
                <w:b/>
              </w:rPr>
            </w:pPr>
            <w:r>
              <w:rPr>
                <w:sz w:val="19"/>
                <w:szCs w:val="19"/>
                <w:b/>
              </w:rPr>
              <w:t xml:space="preserve">What happens</w:t>
            </w:r>
          </w:p>
        </w:tc>
      </w:tr>
      <w:tr>
        <w:tc>
          <w:tcPr>
            <w:tcW w:w="4819" w:type="dxa"/>
          </w:tcPr>
          <w:p>
            <w:pPr>
              <w:rPr>
                <w:sz w:val="19"/>
                <w:szCs w:val="19"/>
              </w:rPr>
            </w:pPr>
            <w:r>
              <w:rPr>
                <w:sz w:val="19"/>
                <w:szCs w:val="19"/>
              </w:rPr>
              <w:t xml:space="preserve">Create a purchase order</w:t>
            </w:r>
          </w:p>
        </w:tc>
        <w:tc>
          <w:tcPr>
            <w:tcW w:w="4819" w:type="dxa"/>
          </w:tcPr>
          <w:p>
            <w:pPr>
              <w:rPr>
                <w:sz w:val="19"/>
                <w:szCs w:val="19"/>
              </w:rPr>
            </w:pPr>
            <w:r>
              <w:rPr>
                <w:sz w:val="19"/>
                <w:szCs w:val="19"/>
              </w:rPr>
              <w:t xml:space="preserve">Not possible here. Orders are raised in Intacct and mirrored read-only.</w:t>
            </w:r>
          </w:p>
        </w:tc>
      </w:tr>
      <w:tr>
        <w:tc>
          <w:tcPr>
            <w:tcW w:w="4819" w:type="dxa"/>
          </w:tcPr>
          <w:p>
            <w:pPr>
              <w:rPr>
                <w:sz w:val="19"/>
                <w:szCs w:val="19"/>
              </w:rPr>
            </w:pPr>
            <w:r>
              <w:rPr>
                <w:sz w:val="19"/>
                <w:szCs w:val="19"/>
              </w:rPr>
              <w:t xml:space="preserve">Adjust stock up or down</w:t>
            </w:r>
          </w:p>
        </w:tc>
        <w:tc>
          <w:tcPr>
            <w:tcW w:w="4819" w:type="dxa"/>
          </w:tcPr>
          <w:p>
            <w:pPr>
              <w:rPr>
                <w:sz w:val="19"/>
                <w:szCs w:val="19"/>
              </w:rPr>
            </w:pPr>
            <w:r>
              <w:rPr>
                <w:sz w:val="19"/>
                <w:szCs w:val="19"/>
              </w:rPr>
              <w:t xml:space="preserve">Refused. On-hand corrections are made through a Cycle Count in Intacct.</w:t>
            </w:r>
          </w:p>
        </w:tc>
      </w:tr>
      <w:tr>
        <w:tc>
          <w:tcPr>
            <w:tcW w:w="4819" w:type="dxa"/>
          </w:tcPr>
          <w:p>
            <w:pPr>
              <w:rPr>
                <w:sz w:val="19"/>
                <w:szCs w:val="19"/>
              </w:rPr>
            </w:pPr>
            <w:r>
              <w:rPr>
                <w:sz w:val="19"/>
                <w:szCs w:val="19"/>
              </w:rPr>
              <w:t xml:space="preserve">Change an item, warehouse or supplier</w:t>
            </w:r>
          </w:p>
        </w:tc>
        <w:tc>
          <w:tcPr>
            <w:tcW w:w="4819" w:type="dxa"/>
          </w:tcPr>
          <w:p>
            <w:pPr>
              <w:rPr>
                <w:sz w:val="19"/>
                <w:szCs w:val="19"/>
              </w:rPr>
            </w:pPr>
            <w:r>
              <w:rPr>
                <w:sz w:val="19"/>
                <w:szCs w:val="19"/>
              </w:rPr>
              <w:t xml:space="preserve">Read-only here. These come from Intacct and a change would be overwritten at the next sync.</w:t>
            </w:r>
          </w:p>
        </w:tc>
      </w:tr>
    </w:tbl>
    <w:p/>
    <w:p>
      <w:pPr>
        <w:pStyle w:val="Heading1"/>
        <w:spacing w:before="320"/>
        <w:rPr>
          <w:color w:val="007E45"/>
          <w:sz w:val="32"/>
          <w:szCs w:val="32"/>
          <w:b/>
        </w:rPr>
      </w:pPr>
      <w:r>
        <w:rPr>
          <w:color w:val="007E45"/>
          <w:sz w:val="32"/>
          <w:szCs w:val="32"/>
          <w:b/>
        </w:rPr>
        <w:t xml:space="preserve">Quick reference</w:t>
      </w:r>
    </w:p>
    <w:p>
      <w:pPr>
        <w:rPr>
          <w:sz w:val="21"/>
          <w:szCs w:val="21"/>
        </w:rPr>
      </w:pPr>
      <w:r>
        <w:rPr>
          <w:sz w:val="21"/>
          <w:szCs w:val="21"/>
        </w:rPr>
        <w:t xml:space="preserve">Fuse Home → Receiving → find the order → enter or scan quantities → delivery note number → Record the delivery.</w:t>
      </w:r>
    </w:p>
    <w:tbl>
      <w:tblPr>
        <w:tblW w:w="9638" w:type="dxa"/>
        <w:tblBorders>
          <w:top w:val="single" w:sz="4" w:space="0" w:color="DCE5E0"/>
          <w:left w:val="single" w:sz="4" w:space="0" w:color="DCE5E0"/>
          <w:bottom w:val="single" w:sz="4" w:space="0" w:color="DCE5E0"/>
          <w:right w:val="single" w:sz="4" w:space="0" w:color="DCE5E0"/>
          <w:insideH w:val="single" w:sz="4" w:space="0" w:color="DCE5E0"/>
          <w:insideV w:val="single" w:sz="4" w:space="0" w:color="DCE5E0"/>
        </w:tblBorders>
        <w:tblCellMar>
          <w:top w:w="60" w:type="dxa"/>
          <w:bottom w:w="60" w:type="dxa"/>
          <w:left w:w="100" w:type="dxa"/>
          <w:right w:w="100" w:type="dxa"/>
        </w:tblCellMar>
      </w:tblPr>
      <w:tblGrid>
        <w:gridCol w:w="4819"/>
        <w:gridCol w:w="4819"/>
      </w:tblGrid>
      <w:tr>
        <w:trPr>
          <w:tblHeader/>
        </w:trPr>
        <w:tc>
          <w:tcPr>
            <w:tcW w:w="4819" w:type="dxa"/>
            <w:shd w:val="clear" w:color="auto" w:fill="E7F4ED"/>
          </w:tcPr>
          <w:p>
            <w:pPr>
              <w:rPr>
                <w:sz w:val="19"/>
                <w:szCs w:val="19"/>
                <w:b/>
              </w:rPr>
            </w:pPr>
            <w:r>
              <w:rPr>
                <w:sz w:val="19"/>
                <w:szCs w:val="19"/>
                <w:b/>
              </w:rPr>
              <w:t xml:space="preserve">Question</w:t>
            </w:r>
          </w:p>
        </w:tc>
        <w:tc>
          <w:tcPr>
            <w:tcW w:w="4819" w:type="dxa"/>
            <w:shd w:val="clear" w:color="auto" w:fill="E7F4ED"/>
          </w:tcPr>
          <w:p>
            <w:pPr>
              <w:rPr>
                <w:sz w:val="19"/>
                <w:szCs w:val="19"/>
                <w:b/>
              </w:rPr>
            </w:pPr>
            <w:r>
              <w:rPr>
                <w:sz w:val="19"/>
                <w:szCs w:val="19"/>
                <w:b/>
              </w:rPr>
              <w:t xml:space="preserve">Answer</w:t>
            </w:r>
          </w:p>
        </w:tc>
      </w:tr>
      <w:tr>
        <w:tc>
          <w:tcPr>
            <w:tcW w:w="4819" w:type="dxa"/>
          </w:tcPr>
          <w:p>
            <w:pPr>
              <w:rPr>
                <w:sz w:val="19"/>
                <w:szCs w:val="19"/>
              </w:rPr>
            </w:pPr>
            <w:r>
              <w:rPr>
                <w:sz w:val="19"/>
                <w:szCs w:val="19"/>
              </w:rPr>
              <w:t xml:space="preserve">Can I receive part of an order?</w:t>
            </w:r>
          </w:p>
        </w:tc>
        <w:tc>
          <w:tcPr>
            <w:tcW w:w="4819" w:type="dxa"/>
          </w:tcPr>
          <w:p>
            <w:pPr>
              <w:rPr>
                <w:sz w:val="19"/>
                <w:szCs w:val="19"/>
              </w:rPr>
            </w:pPr>
            <w:r>
              <w:rPr>
                <w:sz w:val="19"/>
                <w:szCs w:val="19"/>
              </w:rPr>
              <w:t xml:space="preserve">Yes. The rest stays outstanding.</w:t>
            </w:r>
          </w:p>
        </w:tc>
      </w:tr>
      <w:tr>
        <w:tc>
          <w:tcPr>
            <w:tcW w:w="4819" w:type="dxa"/>
          </w:tcPr>
          <w:p>
            <w:pPr>
              <w:rPr>
                <w:sz w:val="19"/>
                <w:szCs w:val="19"/>
              </w:rPr>
            </w:pPr>
            <w:r>
              <w:rPr>
                <w:sz w:val="19"/>
                <w:szCs w:val="19"/>
              </w:rPr>
              <w:t xml:space="preserve">Can I create a purchase order here?</w:t>
            </w:r>
          </w:p>
        </w:tc>
        <w:tc>
          <w:tcPr>
            <w:tcW w:w="4819" w:type="dxa"/>
          </w:tcPr>
          <w:p>
            <w:pPr>
              <w:rPr>
                <w:sz w:val="19"/>
                <w:szCs w:val="19"/>
              </w:rPr>
            </w:pPr>
            <w:r>
              <w:rPr>
                <w:sz w:val="19"/>
                <w:szCs w:val="19"/>
              </w:rPr>
              <w:t xml:space="preserve">No. They come from Intacct.</w:t>
            </w:r>
          </w:p>
        </w:tc>
      </w:tr>
      <w:tr>
        <w:tc>
          <w:tcPr>
            <w:tcW w:w="4819" w:type="dxa"/>
          </w:tcPr>
          <w:p>
            <w:pPr>
              <w:rPr>
                <w:sz w:val="19"/>
                <w:szCs w:val="19"/>
              </w:rPr>
            </w:pPr>
            <w:r>
              <w:rPr>
                <w:sz w:val="19"/>
                <w:szCs w:val="19"/>
              </w:rPr>
              <w:t xml:space="preserve">Where do damaged goods go?</w:t>
            </w:r>
          </w:p>
        </w:tc>
        <w:tc>
          <w:tcPr>
            <w:tcW w:w="4819" w:type="dxa"/>
          </w:tcPr>
          <w:p>
            <w:pPr>
              <w:rPr>
                <w:sz w:val="19"/>
                <w:szCs w:val="19"/>
              </w:rPr>
            </w:pPr>
            <w:r>
              <w:rPr>
                <w:sz w:val="19"/>
                <w:szCs w:val="19"/>
              </w:rPr>
              <w:t xml:space="preserve">The receiving rejects warehouse, on the same receipt.</w:t>
            </w:r>
          </w:p>
        </w:tc>
      </w:tr>
      <w:tr>
        <w:tc>
          <w:tcPr>
            <w:tcW w:w="4819" w:type="dxa"/>
          </w:tcPr>
          <w:p>
            <w:pPr>
              <w:rPr>
                <w:sz w:val="19"/>
                <w:szCs w:val="19"/>
              </w:rPr>
            </w:pPr>
            <w:r>
              <w:rPr>
                <w:sz w:val="19"/>
                <w:szCs w:val="19"/>
              </w:rPr>
              <w:t xml:space="preserve">Do I enter a cost?</w:t>
            </w:r>
          </w:p>
        </w:tc>
        <w:tc>
          <w:tcPr>
            <w:tcW w:w="4819" w:type="dxa"/>
          </w:tcPr>
          <w:p>
            <w:pPr>
              <w:rPr>
                <w:sz w:val="19"/>
                <w:szCs w:val="19"/>
              </w:rPr>
            </w:pPr>
            <w:r>
              <w:rPr>
                <w:sz w:val="19"/>
                <w:szCs w:val="19"/>
              </w:rPr>
              <w:t xml:space="preserve">No. Intacct values the receipt.</w:t>
            </w:r>
          </w:p>
        </w:tc>
      </w:tr>
      <w:tr>
        <w:tc>
          <w:tcPr>
            <w:tcW w:w="4819" w:type="dxa"/>
          </w:tcPr>
          <w:p>
            <w:pPr>
              <w:rPr>
                <w:sz w:val="19"/>
                <w:szCs w:val="19"/>
              </w:rPr>
            </w:pPr>
            <w:r>
              <w:rPr>
                <w:sz w:val="19"/>
                <w:szCs w:val="19"/>
              </w:rPr>
              <w:t xml:space="preserve">How do I undo a receipt?</w:t>
            </w:r>
          </w:p>
        </w:tc>
        <w:tc>
          <w:tcPr>
            <w:tcW w:w="4819" w:type="dxa"/>
          </w:tcPr>
          <w:p>
            <w:pPr>
              <w:rPr>
                <w:sz w:val="19"/>
                <w:szCs w:val="19"/>
              </w:rPr>
            </w:pPr>
            <w:r>
              <w:rPr>
                <w:sz w:val="19"/>
                <w:szCs w:val="19"/>
              </w:rPr>
              <w:t xml:space="preserve">Through your administrator, reversed in Intacct first.</w:t>
            </w:r>
          </w:p>
        </w:tc>
      </w:tr>
    </w:tbl>
    <w:p/>
    <w:p>
      <w:pPr>
        <w:shd w:val="clear" w:color="auto" w:fill="E7F4ED"/>
        <w:pBdr>
          <w:left w:val="single" w:sz="18" w:space="8" w:color="007E45"/>
        </w:pBdr>
        <w:ind w:left="200" w:right="200"/>
        <w:rPr>
          <w:sz w:val="20"/>
          <w:szCs w:val="20"/>
        </w:rPr>
      </w:pPr>
      <w:r>
        <w:rPr>
          <w:sz w:val="20"/>
          <w:szCs w:val="20"/>
          <w:b/>
        </w:rPr>
        <w:t xml:space="preserve">Where this goes.</w:t>
      </w:r>
      <w:r>
        <w:rPr>
          <w:sz w:val="20"/>
          <w:szCs w:val="20"/>
        </w:rPr>
        <w:t xml:space="preserve"> Fuse and Sage Intacct hold the same stock. Anything you record here is sent to Intacct immediately, and Fuse only books it in once Intacct has accepted it. If Intacct refuses, nothing is saved in either system and you will see the reason on screen.</w:t>
      </w:r>
    </w:p>
    <w:sectPr w:rsidR="0003612B">
      <w:head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D6D14" w14:textId="77777777" w:rsidR="0003612B" w:rsidRDefault="0003612B" w:rsidP="0069772D">
      <w:r>
        <w:separator/>
      </w:r>
    </w:p>
  </w:endnote>
  <w:endnote w:type="continuationSeparator" w:id="0">
    <w:p w14:paraId="18FAE73A" w14:textId="77777777" w:rsidR="0003612B" w:rsidRDefault="0003612B" w:rsidP="00697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363B7" w14:textId="77777777" w:rsidR="0003612B" w:rsidRDefault="0003612B" w:rsidP="0069772D">
      <w:r>
        <w:separator/>
      </w:r>
    </w:p>
  </w:footnote>
  <w:footnote w:type="continuationSeparator" w:id="0">
    <w:p w14:paraId="4578B4A2" w14:textId="77777777" w:rsidR="0003612B" w:rsidRDefault="0003612B" w:rsidP="006977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1262" w14:textId="74CA8C8B" w:rsidR="0069772D" w:rsidRDefault="0069772D" w:rsidP="0069772D">
    <w:pPr>
      <w:pStyle w:val="Header"/>
      <w:rPr>
        <w:b/>
        <w:bCs/>
        <w:color w:val="007E45"/>
        <w:sz w:val="44"/>
        <w:szCs w:val="44"/>
      </w:rPr>
    </w:pPr>
    <w:r>
      <w:rPr>
        <w:noProof/>
      </w:rPr>
      <w:drawing>
        <wp:anchor distT="0" distB="0" distL="114300" distR="114300" simplePos="0" relativeHeight="251659264" behindDoc="1" locked="0" layoutInCell="1" allowOverlap="1" wp14:anchorId="709FDB04" wp14:editId="1525830E">
          <wp:simplePos x="0" y="0"/>
          <wp:positionH relativeFrom="margin">
            <wp:align>right</wp:align>
          </wp:positionH>
          <wp:positionV relativeFrom="paragraph">
            <wp:posOffset>8890</wp:posOffset>
          </wp:positionV>
          <wp:extent cx="762000" cy="766445"/>
          <wp:effectExtent l="0" t="0" r="0" b="0"/>
          <wp:wrapTight wrapText="bothSides">
            <wp:wrapPolygon edited="0">
              <wp:start x="6480" y="0"/>
              <wp:lineTo x="0" y="3221"/>
              <wp:lineTo x="0" y="14495"/>
              <wp:lineTo x="1080" y="17717"/>
              <wp:lineTo x="6480" y="20938"/>
              <wp:lineTo x="7020" y="20938"/>
              <wp:lineTo x="14040" y="20938"/>
              <wp:lineTo x="14580" y="20938"/>
              <wp:lineTo x="19980" y="17717"/>
              <wp:lineTo x="21060" y="13959"/>
              <wp:lineTo x="21060" y="3221"/>
              <wp:lineTo x="14580" y="0"/>
              <wp:lineTo x="6480" y="0"/>
            </wp:wrapPolygon>
          </wp:wrapTight>
          <wp:docPr id="202469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766445"/>
                  </a:xfrm>
                  <a:prstGeom prst="rect">
                    <a:avLst/>
                  </a:prstGeom>
                  <a:noFill/>
                  <a:ln>
                    <a:noFill/>
                  </a:ln>
                </pic:spPr>
              </pic:pic>
            </a:graphicData>
          </a:graphic>
        </wp:anchor>
      </w:drawing>
    </w:r>
  </w:p>
  <w:p w14:paraId="298A7497" w14:textId="77777777" w:rsidR="0069772D" w:rsidRDefault="0069772D" w:rsidP="0069772D">
    <w:pPr>
      <w:pStyle w:val="Header"/>
      <w:rPr>
        <w:b/>
        <w:bCs/>
        <w:color w:val="007E45"/>
        <w:sz w:val="44"/>
        <w:szCs w:val="44"/>
      </w:rPr>
    </w:pPr>
  </w:p>
  <w:p w14:paraId="5C3486CC" w14:textId="5B2169B4" w:rsidR="0069772D" w:rsidRDefault="0069772D" w:rsidP="0069772D">
    <w:pPr>
      <w:spacing w:after="60"/>
      <w:jc w:val="center"/>
    </w:pPr>
    <w:r>
      <w:rPr>
        <w:b/>
        <w:bCs/>
        <w:color w:val="007E45"/>
        <w:sz w:val="44"/>
        <w:szCs w:val="44"/>
      </w:rPr>
      <w:t>Receiving</w:t>
    </w:r>
  </w:p>
  <w:p w14:paraId="66241CB8" w14:textId="77777777" w:rsidR="0069772D" w:rsidRDefault="0069772D" w:rsidP="0069772D">
    <w:pPr>
      <w:spacing w:after="60"/>
      <w:jc w:val="center"/>
    </w:pPr>
    <w:r>
      <w:rPr>
        <w:color w:val="66756D"/>
        <w:sz w:val="24"/>
        <w:szCs w:val="24"/>
      </w:rPr>
      <w:t>Booking a delivery in against a purchase order — Fuse Manufacturing user guide 07</w:t>
    </w:r>
  </w:p>
  <w:p w14:paraId="1B886FC5" w14:textId="77777777" w:rsidR="0069772D" w:rsidRDefault="006977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0657C"/>
    <w:multiLevelType w:val="hybridMultilevel"/>
    <w:tmpl w:val="4A561B34"/>
    <w:lvl w:ilvl="0" w:tplc="1902A9F6">
      <w:start w:val="1"/>
      <w:numFmt w:val="decimal"/>
      <w:lvlText w:val="%1."/>
      <w:lvlJc w:val="left"/>
      <w:pPr>
        <w:ind w:left="700" w:hanging="360"/>
      </w:pPr>
    </w:lvl>
    <w:lvl w:ilvl="1" w:tplc="C93809CA">
      <w:numFmt w:val="decimal"/>
      <w:lvlText w:val=""/>
      <w:lvlJc w:val="left"/>
    </w:lvl>
    <w:lvl w:ilvl="2" w:tplc="C6D8FD0A">
      <w:numFmt w:val="decimal"/>
      <w:lvlText w:val=""/>
      <w:lvlJc w:val="left"/>
    </w:lvl>
    <w:lvl w:ilvl="3" w:tplc="09F43B8E">
      <w:numFmt w:val="decimal"/>
      <w:lvlText w:val=""/>
      <w:lvlJc w:val="left"/>
    </w:lvl>
    <w:lvl w:ilvl="4" w:tplc="4AE001E8">
      <w:numFmt w:val="decimal"/>
      <w:lvlText w:val=""/>
      <w:lvlJc w:val="left"/>
    </w:lvl>
    <w:lvl w:ilvl="5" w:tplc="75FE0B22">
      <w:numFmt w:val="decimal"/>
      <w:lvlText w:val=""/>
      <w:lvlJc w:val="left"/>
    </w:lvl>
    <w:lvl w:ilvl="6" w:tplc="880E065A">
      <w:numFmt w:val="decimal"/>
      <w:lvlText w:val=""/>
      <w:lvlJc w:val="left"/>
    </w:lvl>
    <w:lvl w:ilvl="7" w:tplc="2528EDB4">
      <w:numFmt w:val="decimal"/>
      <w:lvlText w:val=""/>
      <w:lvlJc w:val="left"/>
    </w:lvl>
    <w:lvl w:ilvl="8" w:tplc="97B44330">
      <w:numFmt w:val="decimal"/>
      <w:lvlText w:val=""/>
      <w:lvlJc w:val="left"/>
    </w:lvl>
  </w:abstractNum>
  <w:abstractNum w:abstractNumId="1" w15:restartNumberingAfterBreak="0">
    <w:nsid w:val="3C431E5F"/>
    <w:multiLevelType w:val="hybridMultilevel"/>
    <w:tmpl w:val="94108D3C"/>
    <w:lvl w:ilvl="0" w:tplc="A3D81884">
      <w:start w:val="1"/>
      <w:numFmt w:val="bullet"/>
      <w:lvlText w:val="●"/>
      <w:lvlJc w:val="left"/>
      <w:pPr>
        <w:ind w:left="720" w:hanging="360"/>
      </w:pPr>
    </w:lvl>
    <w:lvl w:ilvl="1" w:tplc="C5EC6270">
      <w:start w:val="1"/>
      <w:numFmt w:val="bullet"/>
      <w:lvlText w:val="○"/>
      <w:lvlJc w:val="left"/>
      <w:pPr>
        <w:ind w:left="1440" w:hanging="360"/>
      </w:pPr>
    </w:lvl>
    <w:lvl w:ilvl="2" w:tplc="D0D4FE80">
      <w:start w:val="1"/>
      <w:numFmt w:val="bullet"/>
      <w:lvlText w:val="■"/>
      <w:lvlJc w:val="left"/>
      <w:pPr>
        <w:ind w:left="2160" w:hanging="360"/>
      </w:pPr>
    </w:lvl>
    <w:lvl w:ilvl="3" w:tplc="06E02A34">
      <w:start w:val="1"/>
      <w:numFmt w:val="bullet"/>
      <w:lvlText w:val="●"/>
      <w:lvlJc w:val="left"/>
      <w:pPr>
        <w:ind w:left="2880" w:hanging="360"/>
      </w:pPr>
    </w:lvl>
    <w:lvl w:ilvl="4" w:tplc="520E41F8">
      <w:start w:val="1"/>
      <w:numFmt w:val="bullet"/>
      <w:lvlText w:val="○"/>
      <w:lvlJc w:val="left"/>
      <w:pPr>
        <w:ind w:left="3600" w:hanging="360"/>
      </w:pPr>
    </w:lvl>
    <w:lvl w:ilvl="5" w:tplc="2B56E89E">
      <w:start w:val="1"/>
      <w:numFmt w:val="bullet"/>
      <w:lvlText w:val="■"/>
      <w:lvlJc w:val="left"/>
      <w:pPr>
        <w:ind w:left="4320" w:hanging="360"/>
      </w:pPr>
    </w:lvl>
    <w:lvl w:ilvl="6" w:tplc="8586F4F8">
      <w:start w:val="1"/>
      <w:numFmt w:val="bullet"/>
      <w:lvlText w:val="●"/>
      <w:lvlJc w:val="left"/>
      <w:pPr>
        <w:ind w:left="5040" w:hanging="360"/>
      </w:pPr>
    </w:lvl>
    <w:lvl w:ilvl="7" w:tplc="57AA8620">
      <w:start w:val="1"/>
      <w:numFmt w:val="bullet"/>
      <w:lvlText w:val="●"/>
      <w:lvlJc w:val="left"/>
      <w:pPr>
        <w:ind w:left="5760" w:hanging="360"/>
      </w:pPr>
    </w:lvl>
    <w:lvl w:ilvl="8" w:tplc="18EC6660">
      <w:start w:val="1"/>
      <w:numFmt w:val="bullet"/>
      <w:lvlText w:val="●"/>
      <w:lvlJc w:val="left"/>
      <w:pPr>
        <w:ind w:left="6480" w:hanging="360"/>
      </w:pPr>
    </w:lvl>
  </w:abstractNum>
  <w:abstractNum w:abstractNumId="2" w15:restartNumberingAfterBreak="0">
    <w:nsid w:val="6EED42F3"/>
    <w:multiLevelType w:val="hybridMultilevel"/>
    <w:tmpl w:val="4A3C321E"/>
    <w:lvl w:ilvl="0" w:tplc="27D450A6">
      <w:start w:val="1"/>
      <w:numFmt w:val="lowerLetter"/>
      <w:lvlText w:val="%1)"/>
      <w:lvlJc w:val="left"/>
      <w:pPr>
        <w:ind w:left="1080" w:hanging="340"/>
      </w:pPr>
    </w:lvl>
    <w:lvl w:ilvl="1" w:tplc="6D921548">
      <w:numFmt w:val="decimal"/>
      <w:lvlText w:val=""/>
      <w:lvlJc w:val="left"/>
    </w:lvl>
    <w:lvl w:ilvl="2" w:tplc="EDAED7EE">
      <w:numFmt w:val="decimal"/>
      <w:lvlText w:val=""/>
      <w:lvlJc w:val="left"/>
    </w:lvl>
    <w:lvl w:ilvl="3" w:tplc="842CFFE6">
      <w:numFmt w:val="decimal"/>
      <w:lvlText w:val=""/>
      <w:lvlJc w:val="left"/>
    </w:lvl>
    <w:lvl w:ilvl="4" w:tplc="C14E76CC">
      <w:numFmt w:val="decimal"/>
      <w:lvlText w:val=""/>
      <w:lvlJc w:val="left"/>
    </w:lvl>
    <w:lvl w:ilvl="5" w:tplc="F4367CAC">
      <w:numFmt w:val="decimal"/>
      <w:lvlText w:val=""/>
      <w:lvlJc w:val="left"/>
    </w:lvl>
    <w:lvl w:ilvl="6" w:tplc="4406F496">
      <w:numFmt w:val="decimal"/>
      <w:lvlText w:val=""/>
      <w:lvlJc w:val="left"/>
    </w:lvl>
    <w:lvl w:ilvl="7" w:tplc="D4FE8F5A">
      <w:numFmt w:val="decimal"/>
      <w:lvlText w:val=""/>
      <w:lvlJc w:val="left"/>
    </w:lvl>
    <w:lvl w:ilvl="8" w:tplc="0BB47BCC">
      <w:numFmt w:val="decimal"/>
      <w:lvlText w:val=""/>
      <w:lvlJc w:val="left"/>
    </w:lvl>
  </w:abstractNum>
  <w:abstractNum w:abstractNumId="3" w15:restartNumberingAfterBreak="0">
    <w:nsid w:val="70A421E4"/>
    <w:multiLevelType w:val="hybridMultilevel"/>
    <w:tmpl w:val="E16C965C"/>
    <w:lvl w:ilvl="0" w:tplc="C28CF23E">
      <w:start w:val="1"/>
      <w:numFmt w:val="bullet"/>
      <w:lvlText w:val="•"/>
      <w:lvlJc w:val="left"/>
      <w:pPr>
        <w:ind w:left="700" w:hanging="360"/>
      </w:pPr>
    </w:lvl>
    <w:lvl w:ilvl="1" w:tplc="D1788D64">
      <w:numFmt w:val="decimal"/>
      <w:lvlText w:val=""/>
      <w:lvlJc w:val="left"/>
    </w:lvl>
    <w:lvl w:ilvl="2" w:tplc="D492843C">
      <w:numFmt w:val="decimal"/>
      <w:lvlText w:val=""/>
      <w:lvlJc w:val="left"/>
    </w:lvl>
    <w:lvl w:ilvl="3" w:tplc="825205D2">
      <w:numFmt w:val="decimal"/>
      <w:lvlText w:val=""/>
      <w:lvlJc w:val="left"/>
    </w:lvl>
    <w:lvl w:ilvl="4" w:tplc="9B00E84E">
      <w:numFmt w:val="decimal"/>
      <w:lvlText w:val=""/>
      <w:lvlJc w:val="left"/>
    </w:lvl>
    <w:lvl w:ilvl="5" w:tplc="A8509CC8">
      <w:numFmt w:val="decimal"/>
      <w:lvlText w:val=""/>
      <w:lvlJc w:val="left"/>
    </w:lvl>
    <w:lvl w:ilvl="6" w:tplc="323A644E">
      <w:numFmt w:val="decimal"/>
      <w:lvlText w:val=""/>
      <w:lvlJc w:val="left"/>
    </w:lvl>
    <w:lvl w:ilvl="7" w:tplc="7D7EE3B2">
      <w:numFmt w:val="decimal"/>
      <w:lvlText w:val=""/>
      <w:lvlJc w:val="left"/>
    </w:lvl>
    <w:lvl w:ilvl="8" w:tplc="BD4236EA">
      <w:numFmt w:val="decimal"/>
      <w:lvlText w:val=""/>
      <w:lvlJc w:val="left"/>
    </w:lvl>
  </w:abstractNum>
  <w:num w:numId="1" w16cid:durableId="1454866278">
    <w:abstractNumId w:val="1"/>
    <w:lvlOverride w:ilvl="0">
      <w:startOverride w:val="1"/>
    </w:lvlOverride>
  </w:num>
  <w:num w:numId="2" w16cid:durableId="1291202143">
    <w:abstractNumId w:val="0"/>
    <w:lvlOverride w:ilvl="0">
      <w:startOverride w:val="1"/>
    </w:lvlOverride>
  </w:num>
  <w:num w:numId="3" w16cid:durableId="770705550">
    <w:abstractNumId w:val="3"/>
    <w:lvlOverride w:ilvl="0">
      <w:startOverride w:val="1"/>
    </w:lvlOverride>
  </w:num>
  <w:num w:numId="4" w16cid:durableId="8107125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F18"/>
    <w:rsid w:val="0003612B"/>
    <w:rsid w:val="0069772D"/>
    <w:rsid w:val="00CA6F18"/>
    <w:rsid w:val="00DD049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B9924"/>
  <w15:docId w15:val="{AB1312EE-7B5B-42D3-8FDF-A09237B3E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6241C"/>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9772D"/>
    <w:pPr>
      <w:tabs>
        <w:tab w:val="center" w:pos="4513"/>
        <w:tab w:val="right" w:pos="9026"/>
      </w:tabs>
    </w:pPr>
  </w:style>
  <w:style w:type="character" w:customStyle="1" w:styleId="HeaderChar">
    <w:name w:val="Header Char"/>
    <w:basedOn w:val="DefaultParagraphFont"/>
    <w:link w:val="Header"/>
    <w:uiPriority w:val="99"/>
    <w:rsid w:val="0069772D"/>
  </w:style>
  <w:style w:type="paragraph" w:styleId="Footer">
    <w:name w:val="footer"/>
    <w:basedOn w:val="Normal"/>
    <w:link w:val="FooterChar"/>
    <w:uiPriority w:val="99"/>
    <w:unhideWhenUsed/>
    <w:rsid w:val="0069772D"/>
    <w:pPr>
      <w:tabs>
        <w:tab w:val="center" w:pos="4513"/>
        <w:tab w:val="right" w:pos="9026"/>
      </w:tabs>
    </w:pPr>
  </w:style>
  <w:style w:type="character" w:customStyle="1" w:styleId="FooterChar">
    <w:name w:val="Footer Char"/>
    <w:basedOn w:val="DefaultParagraphFont"/>
    <w:link w:val="Footer"/>
    <w:uiPriority w:val="99"/>
    <w:rsid w:val="00697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861</Words>
  <Characters>4912</Characters>
  <Application>Microsoft Office Word</Application>
  <DocSecurity>0</DocSecurity>
  <Lines>40</Lines>
  <Paragraphs>11</Paragraphs>
  <ScaleCrop>false</ScaleCrop>
  <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Russell Stroebel</cp:lastModifiedBy>
  <cp:revision>2</cp:revision>
  <dcterms:created xsi:type="dcterms:W3CDTF">2026-08-14T12:47:00Z</dcterms:created>
  <dcterms:modified xsi:type="dcterms:W3CDTF">2026-08-17T09:15:00Z</dcterms:modified>
</cp:coreProperties>
</file>