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rPr>
          <w:color w:val="007E45"/>
          <w:sz w:val="56"/>
          <w:szCs w:val="56"/>
          <w:b/>
        </w:rPr>
      </w:pPr>
      <w:r>
        <w:rPr>
          <w:color w:val="007E45"/>
          <w:sz w:val="56"/>
          <w:szCs w:val="56"/>
          <w:b/>
        </w:rPr>
        <w:t xml:space="preserve">Intacct Settings</w:t>
      </w:r>
    </w:p>
    <w:p>
      <w:pPr>
        <w:rPr>
          <w:sz w:val="21"/>
          <w:szCs w:val="21"/>
        </w:rPr>
      </w:pPr>
      <w:r>
        <w:rPr>
          <w:sz w:val="21"/>
          <w:szCs w:val="21"/>
          <w:i/>
        </w:rPr>
        <w:t xml:space="preserve">The connection to Sage Intacct, and what each part of it controls — Fuse Manufacturing administrator guide 10</w:t>
      </w:r>
    </w:p>
    <w:p>
      <w:pPr>
        <w:shd w:val="clear" w:color="auto" w:fill="E7F4ED"/>
        <w:pBdr>
          <w:left w:val="single" w:sz="18" w:space="8" w:color="007E45"/>
        </w:pBdr>
        <w:ind w:left="200" w:right="200"/>
        <w:rPr>
          <w:sz w:val="20"/>
          <w:szCs w:val="20"/>
        </w:rPr>
      </w:pPr>
      <w:r>
        <w:rPr>
          <w:sz w:val="20"/>
          <w:szCs w:val="20"/>
        </w:rPr>
        <w:t xml:space="preserve">This guide is for administrators. </w:t>
      </w:r>
      <w:r>
        <w:rPr>
          <w:sz w:val="20"/>
          <w:szCs w:val="20"/>
          <w:b/>
        </w:rPr>
        <w:t xml:space="preserve">Do not share screenshots of this page without blanking the credential fields first.</w:t>
      </w:r>
    </w:p>
    <w:p>
      <w:pPr>
        <w:pStyle w:val="Heading1"/>
        <w:spacing w:before="320"/>
        <w:rPr>
          <w:color w:val="007E45"/>
          <w:sz w:val="32"/>
          <w:szCs w:val="32"/>
          <w:b/>
        </w:rPr>
      </w:pPr>
      <w:r>
        <w:rPr>
          <w:color w:val="007E45"/>
          <w:sz w:val="32"/>
          <w:szCs w:val="32"/>
          <w:b/>
        </w:rPr>
        <w:t xml:space="preserve">Before you start</w:t>
      </w:r>
    </w:p>
    <w:p>
      <w:pPr>
        <w:pStyle w:val="Heading2"/>
        <w:spacing w:before="240"/>
        <w:rPr>
          <w:color w:val="006034"/>
          <w:sz w:val="26"/>
          <w:szCs w:val="26"/>
          <w:b/>
        </w:rPr>
      </w:pPr>
      <w:r>
        <w:rPr>
          <w:color w:val="006034"/>
          <w:sz w:val="26"/>
          <w:szCs w:val="26"/>
          <w:b/>
        </w:rPr>
        <w:t xml:space="preserve">What this page is</w:t>
      </w:r>
    </w:p>
    <w:p>
      <w:pPr>
        <w:rPr>
          <w:sz w:val="21"/>
          <w:szCs w:val="21"/>
        </w:rPr>
      </w:pPr>
      <w:r>
        <w:rPr>
          <w:sz w:val="21"/>
          <w:szCs w:val="21"/>
        </w:rPr>
        <w:t xml:space="preserve">One page holding everything Fuse needs to talk to Sage Intacct, plus the few choices that cannot be read from Intacct.</w:t>
      </w:r>
    </w:p>
    <w:p>
      <w:pPr>
        <w:rPr>
          <w:sz w:val="21"/>
          <w:szCs w:val="21"/>
        </w:rPr>
      </w:pPr>
      <w:r>
        <w:rPr>
          <w:sz w:val="21"/>
          <w:szCs w:val="21"/>
        </w:rPr>
        <w:t xml:space="preserve">The governing rule is worth knowing before you change anything: </w:t>
      </w:r>
      <w:r>
        <w:rPr>
          <w:sz w:val="21"/>
          <w:szCs w:val="21"/>
          <w:b/>
        </w:rPr>
        <w:t xml:space="preserve">Intacct is the golden source.</w:t>
      </w:r>
      <w:r>
        <w:rPr>
          <w:sz w:val="21"/>
          <w:szCs w:val="21"/>
        </w:rPr>
        <w:t xml:space="preserve"> Almost everything here is either a credential or a mapping onto something Intacct already holds. Where Fuse can read a value from Intacct, it does — it does not ask you to type it.</w:t>
      </w:r>
    </w:p>
    <w:p>
      <w:pPr>
        <w:rPr>
          <w:sz w:val="21"/>
          <w:szCs w:val="21"/>
        </w:rPr>
      </w:pPr>
      <w:r>
        <w:rPr>
          <w:sz w:val="21"/>
          <w:szCs w:val="21"/>
        </w:rPr>
        <w:t xml:space="preserve">Find it by typing </w:t>
      </w:r>
      <w:r>
        <w:rPr>
          <w:sz w:val="21"/>
          <w:szCs w:val="21"/>
          <w:b/>
        </w:rPr>
        <w:t xml:space="preserve">Intacct Settings</w:t>
      </w:r>
      <w:r>
        <w:rPr>
          <w:sz w:val="21"/>
          <w:szCs w:val="21"/>
        </w:rPr>
        <w:t xml:space="preserve"> in the search bar.</w:t>
      </w:r>
    </w:p>
    <w:p>
      <w:pPr>
        <w:pStyle w:val="Heading1"/>
        <w:spacing w:before="320"/>
        <w:rPr>
          <w:color w:val="007E45"/>
          <w:sz w:val="32"/>
          <w:szCs w:val="32"/>
          <w:b/>
        </w:rPr>
      </w:pPr>
      <w:r>
        <w:rPr>
          <w:color w:val="007E45"/>
          <w:sz w:val="32"/>
          <w:szCs w:val="32"/>
          <w:b/>
        </w:rPr>
        <w:t xml:space="preserve">Enabled, and Post Stock Movements</w:t>
      </w:r>
    </w:p>
    <w:p>
      <w:pPr>
        <w:rPr>
          <w:sz w:val="21"/>
          <w:szCs w:val="21"/>
        </w:rPr>
      </w:pPr>
      <w:r>
        <w:rPr>
          <w:sz w:val="21"/>
          <w:szCs w:val="21"/>
        </w:rPr>
        <w:t xml:space="preserve">Two switches at the top, and they do different jobs.</w:t>
      </w:r>
    </w:p>
    <w:p>
      <w:pPr>
        <w:rPr>
          <w:sz w:val="21"/>
          <w:szCs w:val="21"/>
        </w:rPr>
      </w:pPr>
      <w:r>
        <w:rPr>
          <w:sz w:val="21"/>
          <w:szCs w:val="21"/>
          <w:b/>
        </w:rPr>
        <w:t xml:space="preserve">Enabled</w:t>
      </w:r>
      <w:r>
        <w:rPr>
          <w:sz w:val="21"/>
          <w:szCs w:val="21"/>
        </w:rPr>
        <w:t xml:space="preserve"> is the master switch. With it off, every call to Intacct raises an error instead of going out. Use it when the connection must be stopped entirely.</w:t>
      </w:r>
    </w:p>
    <w:p>
      <w:pPr>
        <w:rPr>
          <w:sz w:val="21"/>
          <w:szCs w:val="21"/>
        </w:rPr>
      </w:pPr>
      <w:r>
        <w:rPr>
          <w:sz w:val="21"/>
          <w:szCs w:val="21"/>
          <w:b/>
        </w:rPr>
        <w:t xml:space="preserve">Post Stock Movements to Intacct</w:t>
      </w:r>
      <w:r>
        <w:rPr>
          <w:sz w:val="21"/>
          <w:szCs w:val="21"/>
        </w:rPr>
        <w:t xml:space="preserve"> controls whether movements are sent. With it off, Fuse records stock locally and Intacct hears nothing. That is the right setting while a new site is syncing its masters and nobody should be posting yet — and the wrong setting for a live site, because the two systems then drift apart silently.</w:t>
      </w:r>
    </w:p>
    <w:p>
      <w:pPr>
        <w:rPr>
          <w:sz w:val="21"/>
          <w:szCs w:val="21"/>
        </w:rPr>
      </w:pPr>
      <w:r>
        <w:rPr>
          <w:sz w:val="21"/>
          <w:szCs w:val="21"/>
        </w:rPr>
        <w:t xml:space="preserve">The shop floor screens show a red banner whenever it is off, so an operator is never recording into a system that is not posting without being told.</w:t>
      </w:r>
    </w:p>
    <w:p>
      <w:pPr>
        <w:shd w:val="clear" w:color="auto" w:fill="E7F4ED"/>
        <w:pBdr>
          <w:left w:val="single" w:sz="18" w:space="8" w:color="007E45"/>
        </w:pBdr>
        <w:ind w:left="200" w:right="200"/>
        <w:rPr>
          <w:sz w:val="20"/>
          <w:szCs w:val="20"/>
        </w:rPr>
      </w:pPr>
      <w:r>
        <w:rPr>
          <w:sz w:val="20"/>
          <w:szCs w:val="20"/>
          <w:b/>
        </w:rPr>
        <w:t xml:space="preserve">Screenshot 1 — The two switches</w:t>
      </w:r>
      <w:r>
        <w:rPr>
          <w:sz w:val="20"/>
          <w:szCs w:val="20"/>
        </w:rPr>
        <w:t xml:space="preserve"> </w:t>
      </w:r>
      <w:r>
        <w:rPr>
          <w:sz w:val="20"/>
          <w:szCs w:val="20"/>
          <w:i/>
        </w:rPr>
        <w:t xml:space="preserve">[to be inserted: top of Intacct Settings]</w:t>
      </w:r>
    </w:p>
    <w:p>
      <w:pPr>
        <w:pStyle w:val="Heading1"/>
        <w:spacing w:before="320"/>
        <w:rPr>
          <w:color w:val="007E45"/>
          <w:sz w:val="32"/>
          <w:szCs w:val="32"/>
          <w:b/>
        </w:rPr>
      </w:pPr>
      <w:r>
        <w:rPr>
          <w:color w:val="007E45"/>
          <w:sz w:val="32"/>
          <w:szCs w:val="32"/>
          <w:b/>
        </w:rPr>
        <w:t xml:space="preserve">Credentials</w:t>
      </w:r>
    </w:p>
    <w:p>
      <w:pPr>
        <w:rPr>
          <w:sz w:val="21"/>
          <w:szCs w:val="21"/>
        </w:rPr>
      </w:pPr>
      <w:r>
        <w:rPr>
          <w:sz w:val="21"/>
          <w:szCs w:val="21"/>
        </w:rPr>
        <w:t xml:space="preserve">Five values, in two groups: the </w:t>
      </w:r>
      <w:r>
        <w:rPr>
          <w:sz w:val="21"/>
          <w:szCs w:val="21"/>
          <w:b/>
        </w:rPr>
        <w:t xml:space="preserve">sender</w:t>
      </w:r>
      <w:r>
        <w:rPr>
          <w:sz w:val="21"/>
          <w:szCs w:val="21"/>
        </w:rPr>
        <w:t xml:space="preserve"> pair identifies Fuse to the Intacct gateway, and the </w:t>
      </w:r>
      <w:r>
        <w:rPr>
          <w:sz w:val="21"/>
          <w:szCs w:val="21"/>
          <w:b/>
        </w:rPr>
        <w:t xml:space="preserve">company</w:t>
      </w:r>
      <w:r>
        <w:rPr>
          <w:sz w:val="21"/>
          <w:szCs w:val="21"/>
        </w:rPr>
        <w:t xml:space="preserve"> trio identifies which Intacct company to sign into.</w:t>
      </w:r>
    </w:p>
    <w:tbl>
      <w:tblPr>
        <w:tblW w:w="9638" w:type="dxa"/>
        <w:tblBorders>
          <w:top w:val="single" w:sz="4" w:space="0" w:color="DCE5E0"/>
          <w:left w:val="single" w:sz="4" w:space="0" w:color="DCE5E0"/>
          <w:bottom w:val="single" w:sz="4" w:space="0" w:color="DCE5E0"/>
          <w:right w:val="single" w:sz="4" w:space="0" w:color="DCE5E0"/>
          <w:insideH w:val="single" w:sz="4" w:space="0" w:color="DCE5E0"/>
          <w:insideV w:val="single" w:sz="4" w:space="0" w:color="DCE5E0"/>
        </w:tblBorders>
        <w:tblCellMar>
          <w:top w:w="60" w:type="dxa"/>
          <w:bottom w:w="60" w:type="dxa"/>
          <w:left w:w="100" w:type="dxa"/>
          <w:right w:w="100" w:type="dxa"/>
        </w:tblCellMar>
      </w:tblPr>
      <w:tblGrid>
        <w:gridCol w:w="4819"/>
        <w:gridCol w:w="4819"/>
      </w:tblGrid>
      <w:tr>
        <w:trPr>
          <w:tblHeader/>
        </w:trPr>
        <w:tc>
          <w:tcPr>
            <w:tcW w:w="4819" w:type="dxa"/>
            <w:shd w:val="clear" w:color="auto" w:fill="E7F4ED"/>
          </w:tcPr>
          <w:p>
            <w:pPr>
              <w:rPr>
                <w:sz w:val="19"/>
                <w:szCs w:val="19"/>
                <w:b/>
              </w:rPr>
            </w:pPr>
            <w:r>
              <w:rPr>
                <w:sz w:val="19"/>
                <w:szCs w:val="19"/>
                <w:b/>
              </w:rPr>
              <w:t xml:space="preserve">Field</w:t>
            </w:r>
          </w:p>
        </w:tc>
        <w:tc>
          <w:tcPr>
            <w:tcW w:w="4819" w:type="dxa"/>
            <w:shd w:val="clear" w:color="auto" w:fill="E7F4ED"/>
          </w:tcPr>
          <w:p>
            <w:pPr>
              <w:rPr>
                <w:sz w:val="19"/>
                <w:szCs w:val="19"/>
                <w:b/>
              </w:rPr>
            </w:pPr>
            <w:r>
              <w:rPr>
                <w:sz w:val="19"/>
                <w:szCs w:val="19"/>
                <w:b/>
              </w:rPr>
              <w:t xml:space="preserve">What it is</w:t>
            </w:r>
          </w:p>
        </w:tc>
      </w:tr>
      <w:tr>
        <w:tc>
          <w:tcPr>
            <w:tcW w:w="4819" w:type="dxa"/>
          </w:tcPr>
          <w:p>
            <w:pPr>
              <w:rPr>
                <w:sz w:val="19"/>
                <w:szCs w:val="19"/>
              </w:rPr>
            </w:pPr>
            <w:r>
              <w:rPr>
                <w:sz w:val="19"/>
                <w:szCs w:val="19"/>
              </w:rPr>
              <w:t xml:space="preserve">Sender ID / Sender Password</w:t>
            </w:r>
          </w:p>
        </w:tc>
        <w:tc>
          <w:tcPr>
            <w:tcW w:w="4819" w:type="dxa"/>
          </w:tcPr>
          <w:p>
            <w:pPr>
              <w:rPr>
                <w:sz w:val="19"/>
                <w:szCs w:val="19"/>
              </w:rPr>
            </w:pPr>
            <w:r>
              <w:rPr>
                <w:sz w:val="19"/>
                <w:szCs w:val="19"/>
              </w:rPr>
              <w:t xml:space="preserve">Issued by Sage for the gateway itself</w:t>
            </w:r>
          </w:p>
        </w:tc>
      </w:tr>
      <w:tr>
        <w:tc>
          <w:tcPr>
            <w:tcW w:w="4819" w:type="dxa"/>
          </w:tcPr>
          <w:p>
            <w:pPr>
              <w:rPr>
                <w:sz w:val="19"/>
                <w:szCs w:val="19"/>
              </w:rPr>
            </w:pPr>
            <w:r>
              <w:rPr>
                <w:sz w:val="19"/>
                <w:szCs w:val="19"/>
              </w:rPr>
              <w:t xml:space="preserve">Company ID</w:t>
            </w:r>
          </w:p>
        </w:tc>
        <w:tc>
          <w:tcPr>
            <w:tcW w:w="4819" w:type="dxa"/>
          </w:tcPr>
          <w:p>
            <w:pPr>
              <w:rPr>
                <w:sz w:val="19"/>
                <w:szCs w:val="19"/>
              </w:rPr>
            </w:pPr>
            <w:r>
              <w:rPr>
                <w:sz w:val="19"/>
                <w:szCs w:val="19"/>
              </w:rPr>
              <w:t xml:space="preserve">The Intacct company, e.g. a live company or an </w:t>
            </w:r>
            <w:r>
              <w:rPr>
                <w:sz w:val="19"/>
                <w:szCs w:val="19"/>
                <w:rFonts w:ascii="Consolas" w:hAnsi="Consolas"/>
                <w:sz w:val="19"/>
              </w:rPr>
              <w:t xml:space="preserve">-imp</w:t>
            </w:r>
            <w:r>
              <w:rPr>
                <w:sz w:val="19"/>
                <w:szCs w:val="19"/>
              </w:rPr>
              <w:t xml:space="preserve"> test one</w:t>
            </w:r>
          </w:p>
        </w:tc>
      </w:tr>
      <w:tr>
        <w:tc>
          <w:tcPr>
            <w:tcW w:w="4819" w:type="dxa"/>
          </w:tcPr>
          <w:p>
            <w:pPr>
              <w:rPr>
                <w:sz w:val="19"/>
                <w:szCs w:val="19"/>
              </w:rPr>
            </w:pPr>
            <w:r>
              <w:rPr>
                <w:sz w:val="19"/>
                <w:szCs w:val="19"/>
              </w:rPr>
              <w:t xml:space="preserve">User ID / User Password</w:t>
            </w:r>
          </w:p>
        </w:tc>
        <w:tc>
          <w:tcPr>
            <w:tcW w:w="4819" w:type="dxa"/>
          </w:tcPr>
          <w:p>
            <w:pPr>
              <w:rPr>
                <w:sz w:val="19"/>
                <w:szCs w:val="19"/>
              </w:rPr>
            </w:pPr>
            <w:r>
              <w:rPr>
                <w:sz w:val="19"/>
                <w:szCs w:val="19"/>
              </w:rPr>
              <w:t xml:space="preserve">The Intacct web services user Fuse signs in as</w:t>
            </w:r>
          </w:p>
        </w:tc>
      </w:tr>
    </w:tbl>
    <w:p/>
    <w:p>
      <w:pPr>
        <w:rPr>
          <w:sz w:val="21"/>
          <w:szCs w:val="21"/>
        </w:rPr>
      </w:pPr>
      <w:r>
        <w:rPr>
          <w:sz w:val="21"/>
          <w:szCs w:val="21"/>
        </w:rPr>
        <w:t xml:space="preserve">These come from whoever administers your Intacct company. </w:t>
      </w:r>
      <w:r>
        <w:rPr>
          <w:sz w:val="21"/>
          <w:szCs w:val="21"/>
          <w:b/>
        </w:rPr>
        <w:t xml:space="preserve">They are never written down in a document, an email or a chat message</w:t>
      </w:r>
      <w:r>
        <w:rPr>
          <w:sz w:val="21"/>
          <w:szCs w:val="21"/>
        </w:rPr>
        <w:t xml:space="preserve"> — including this guide.</w:t>
      </w:r>
    </w:p>
    <w:p>
      <w:pPr>
        <w:shd w:val="clear" w:color="auto" w:fill="E7F4ED"/>
        <w:pBdr>
          <w:left w:val="single" w:sz="18" w:space="8" w:color="007E45"/>
        </w:pBdr>
        <w:ind w:left="200" w:right="200"/>
        <w:rPr>
          <w:sz w:val="20"/>
          <w:szCs w:val="20"/>
        </w:rPr>
      </w:pPr>
      <w:r>
        <w:rPr>
          <w:sz w:val="20"/>
          <w:szCs w:val="20"/>
          <w:b/>
        </w:rPr>
        <w:t xml:space="preserve">Screenshot 2 — Credentials, values blanked</w:t>
      </w:r>
      <w:r>
        <w:rPr>
          <w:sz w:val="20"/>
          <w:szCs w:val="20"/>
        </w:rPr>
        <w:t xml:space="preserve"> </w:t>
      </w:r>
      <w:r>
        <w:rPr>
          <w:sz w:val="20"/>
          <w:szCs w:val="20"/>
          <w:i/>
        </w:rPr>
        <w:t xml:space="preserve">[to be inserted: the Credentials section with every value obscured before sharing]</w:t>
      </w:r>
    </w:p>
    <w:p>
      <w:pPr>
        <w:pStyle w:val="Heading1"/>
        <w:spacing w:before="320"/>
        <w:rPr>
          <w:color w:val="007E45"/>
          <w:sz w:val="32"/>
          <w:szCs w:val="32"/>
          <w:b/>
        </w:rPr>
      </w:pPr>
      <w:r>
        <w:rPr>
          <w:color w:val="007E45"/>
          <w:sz w:val="32"/>
          <w:szCs w:val="32"/>
          <w:b/>
        </w:rPr>
        <w:t xml:space="preserve">Entity</w:t>
      </w:r>
    </w:p>
    <w:p>
      <w:pPr>
        <w:rPr>
          <w:sz w:val="21"/>
          <w:szCs w:val="21"/>
        </w:rPr>
      </w:pPr>
      <w:r>
        <w:rPr>
          <w:sz w:val="21"/>
          <w:szCs w:val="21"/>
          <w:b/>
        </w:rPr>
        <w:t xml:space="preserve">Entity ID (locationid)</w:t>
      </w:r>
      <w:r>
        <w:rPr>
          <w:sz w:val="21"/>
          <w:szCs w:val="21"/>
        </w:rPr>
        <w:t xml:space="preserve"> is the Intacct entity Fuse signs into, and it is sent on every request.</w:t>
      </w:r>
    </w:p>
    <w:p>
      <w:pPr>
        <w:rPr>
          <w:sz w:val="21"/>
          <w:szCs w:val="21"/>
        </w:rPr>
      </w:pPr>
      <w:r>
        <w:rPr>
          <w:sz w:val="21"/>
          <w:szCs w:val="21"/>
        </w:rPr>
        <w:t xml:space="preserve">It matters more than it looks. Intacct's manufacturing definitions are set to "Entity only", so signing in at the top level is rejected — with an error that reads like a credentials problem rather than an entity one. The entity also differs between companies: a test company and a live one will not share the same value.</w:t>
      </w:r>
    </w:p>
    <w:p>
      <w:pPr>
        <w:pStyle w:val="Heading1"/>
        <w:spacing w:before="320"/>
        <w:rPr>
          <w:color w:val="007E45"/>
          <w:sz w:val="32"/>
          <w:szCs w:val="32"/>
          <w:b/>
        </w:rPr>
      </w:pPr>
      <w:r>
        <w:rPr>
          <w:color w:val="007E45"/>
          <w:sz w:val="32"/>
          <w:szCs w:val="32"/>
          <w:b/>
        </w:rPr>
        <w:t xml:space="preserve">Defaults</w:t>
      </w:r>
    </w:p>
    <w:p>
      <w:pPr>
        <w:rPr>
          <w:sz w:val="21"/>
          <w:szCs w:val="21"/>
        </w:rPr>
      </w:pPr>
      <w:r>
        <w:rPr>
          <w:sz w:val="21"/>
          <w:szCs w:val="21"/>
          <w:b/>
        </w:rPr>
        <w:t xml:space="preserve">Default Item Group</w:t>
      </w:r>
      <w:r>
        <w:rPr>
          <w:sz w:val="21"/>
          <w:szCs w:val="21"/>
        </w:rPr>
        <w:t xml:space="preserve"> — Intacct has no concept that maps onto ERPNext item groups, so synced items land here.</w:t>
      </w:r>
    </w:p>
    <w:p>
      <w:pPr>
        <w:rPr>
          <w:sz w:val="21"/>
          <w:szCs w:val="21"/>
        </w:rPr>
      </w:pPr>
      <w:r>
        <w:rPr>
          <w:sz w:val="21"/>
          <w:szCs w:val="21"/>
          <w:b/>
        </w:rPr>
        <w:t xml:space="preserve">Receiving Rejects Warehouse</w:t>
      </w:r>
      <w:r>
        <w:rPr>
          <w:sz w:val="21"/>
          <w:szCs w:val="21"/>
        </w:rPr>
        <w:t xml:space="preserve"> — where damaged goods go when a delivery is received. This is the one field on the page not read from Intacct: Intacct does not record which of its warehouses is the reject one, so it is a Fuse routing choice. The warehouse itself still comes from Intacct like every other.</w:t>
      </w:r>
    </w:p>
    <w:p>
      <w:pPr>
        <w:rPr>
          <w:sz w:val="21"/>
          <w:szCs w:val="21"/>
        </w:rPr>
      </w:pPr>
      <w:r>
        <w:rPr>
          <w:sz w:val="21"/>
          <w:szCs w:val="21"/>
        </w:rPr>
        <w:t xml:space="preserve">Leave it empty and receiving refuses a rejected quantity, rather than quietly putting damaged stock back into good stock.</w:t>
      </w:r>
    </w:p>
    <w:p>
      <w:pPr>
        <w:pStyle w:val="Heading1"/>
        <w:spacing w:before="320"/>
        <w:rPr>
          <w:color w:val="007E45"/>
          <w:sz w:val="32"/>
          <w:szCs w:val="32"/>
          <w:b/>
        </w:rPr>
      </w:pPr>
      <w:r>
        <w:rPr>
          <w:color w:val="007E45"/>
          <w:sz w:val="32"/>
          <w:szCs w:val="32"/>
          <w:b/>
        </w:rPr>
        <w:t xml:space="preserve">Transactions</w:t>
      </w:r>
    </w:p>
    <w:p>
      <w:pPr>
        <w:rPr>
          <w:sz w:val="21"/>
          <w:szCs w:val="21"/>
        </w:rPr>
      </w:pPr>
      <w:r>
        <w:rPr>
          <w:sz w:val="21"/>
          <w:szCs w:val="21"/>
        </w:rPr>
        <w:t xml:space="preserve">Which Intacct definition each Fuse process posts to.</w:t>
      </w:r>
    </w:p>
    <w:p>
      <w:pPr>
        <w:rPr>
          <w:sz w:val="21"/>
          <w:szCs w:val="21"/>
        </w:rPr>
      </w:pPr>
      <w:r>
        <w:rPr>
          <w:sz w:val="21"/>
          <w:szCs w:val="21"/>
        </w:rPr>
        <w:t xml:space="preserve">Every Intacct company names these differently. Leadertread's goods receipt is called </w:t>
      </w:r>
      <w:r>
        <w:rPr>
          <w:sz w:val="21"/>
          <w:szCs w:val="21"/>
          <w:i/>
        </w:rPr>
        <w:t xml:space="preserve">Goods received voucher</w:t>
      </w:r>
      <w:r>
        <w:rPr>
          <w:sz w:val="21"/>
          <w:szCs w:val="21"/>
        </w:rPr>
        <w:t xml:space="preserve">; another company calls the same thing something else entirely. A name that is right for one client is simply wrong for the next, and the rejection it causes names no field — so nothing here is defaulted from another client.</w:t>
      </w:r>
    </w:p>
    <w:tbl>
      <w:tblPr>
        <w:tblW w:w="9638" w:type="dxa"/>
        <w:tblBorders>
          <w:top w:val="single" w:sz="4" w:space="0" w:color="DCE5E0"/>
          <w:left w:val="single" w:sz="4" w:space="0" w:color="DCE5E0"/>
          <w:bottom w:val="single" w:sz="4" w:space="0" w:color="DCE5E0"/>
          <w:right w:val="single" w:sz="4" w:space="0" w:color="DCE5E0"/>
          <w:insideH w:val="single" w:sz="4" w:space="0" w:color="DCE5E0"/>
          <w:insideV w:val="single" w:sz="4" w:space="0" w:color="DCE5E0"/>
        </w:tblBorders>
        <w:tblCellMar>
          <w:top w:w="60" w:type="dxa"/>
          <w:bottom w:w="60" w:type="dxa"/>
          <w:left w:w="100" w:type="dxa"/>
          <w:right w:w="100" w:type="dxa"/>
        </w:tblCellMar>
      </w:tblPr>
      <w:tblGrid>
        <w:gridCol w:w="4819"/>
        <w:gridCol w:w="4819"/>
      </w:tblGrid>
      <w:tr>
        <w:trPr>
          <w:tblHeader/>
        </w:trPr>
        <w:tc>
          <w:tcPr>
            <w:tcW w:w="4819" w:type="dxa"/>
            <w:shd w:val="clear" w:color="auto" w:fill="E7F4ED"/>
          </w:tcPr>
          <w:p>
            <w:pPr>
              <w:rPr>
                <w:sz w:val="19"/>
                <w:szCs w:val="19"/>
                <w:b/>
              </w:rPr>
            </w:pPr>
            <w:r>
              <w:rPr>
                <w:sz w:val="19"/>
                <w:szCs w:val="19"/>
                <w:b/>
              </w:rPr>
              <w:t xml:space="preserve">Column</w:t>
            </w:r>
          </w:p>
        </w:tc>
        <w:tc>
          <w:tcPr>
            <w:tcW w:w="4819" w:type="dxa"/>
            <w:shd w:val="clear" w:color="auto" w:fill="E7F4ED"/>
          </w:tcPr>
          <w:p>
            <w:pPr>
              <w:rPr>
                <w:sz w:val="19"/>
                <w:szCs w:val="19"/>
                <w:b/>
              </w:rPr>
            </w:pPr>
            <w:r>
              <w:rPr>
                <w:sz w:val="19"/>
                <w:szCs w:val="19"/>
                <w:b/>
              </w:rPr>
              <w:t xml:space="preserve">What it is</w:t>
            </w:r>
          </w:p>
        </w:tc>
      </w:tr>
      <w:tr>
        <w:tc>
          <w:tcPr>
            <w:tcW w:w="4819" w:type="dxa"/>
          </w:tcPr>
          <w:p>
            <w:pPr>
              <w:rPr>
                <w:sz w:val="19"/>
                <w:szCs w:val="19"/>
              </w:rPr>
            </w:pPr>
            <w:r>
              <w:rPr>
                <w:sz w:val="19"/>
                <w:szCs w:val="19"/>
              </w:rPr>
              <w:t xml:space="preserve">Process</w:t>
            </w:r>
          </w:p>
        </w:tc>
        <w:tc>
          <w:tcPr>
            <w:tcW w:w="4819" w:type="dxa"/>
          </w:tcPr>
          <w:p>
            <w:pPr>
              <w:rPr>
                <w:sz w:val="19"/>
                <w:szCs w:val="19"/>
              </w:rPr>
            </w:pPr>
            <w:r>
              <w:rPr>
                <w:sz w:val="19"/>
                <w:szCs w:val="19"/>
              </w:rPr>
              <w:t xml:space="preserve">The Fuse job — receiving, the production legs, and so on</w:t>
            </w:r>
          </w:p>
        </w:tc>
      </w:tr>
      <w:tr>
        <w:tc>
          <w:tcPr>
            <w:tcW w:w="4819" w:type="dxa"/>
          </w:tcPr>
          <w:p>
            <w:pPr>
              <w:rPr>
                <w:sz w:val="19"/>
                <w:szCs w:val="19"/>
              </w:rPr>
            </w:pPr>
            <w:r>
              <w:rPr>
                <w:sz w:val="19"/>
                <w:szCs w:val="19"/>
              </w:rPr>
              <w:t xml:space="preserve">Intacct Definition</w:t>
            </w:r>
          </w:p>
        </w:tc>
        <w:tc>
          <w:tcPr>
            <w:tcW w:w="4819" w:type="dxa"/>
          </w:tcPr>
          <w:p>
            <w:pPr>
              <w:rPr>
                <w:sz w:val="19"/>
                <w:szCs w:val="19"/>
              </w:rPr>
            </w:pPr>
            <w:r>
              <w:rPr>
                <w:sz w:val="19"/>
                <w:szCs w:val="19"/>
              </w:rPr>
              <w:t xml:space="preserve">Which of this company's definitions it posts</w:t>
            </w:r>
          </w:p>
        </w:tc>
      </w:tr>
      <w:tr>
        <w:tc>
          <w:tcPr>
            <w:tcW w:w="4819" w:type="dxa"/>
          </w:tcPr>
          <w:p>
            <w:pPr>
              <w:rPr>
                <w:sz w:val="19"/>
                <w:szCs w:val="19"/>
              </w:rPr>
            </w:pPr>
            <w:r>
              <w:rPr>
                <w:sz w:val="19"/>
                <w:szCs w:val="19"/>
              </w:rPr>
              <w:t xml:space="preserve">What it posts</w:t>
            </w:r>
          </w:p>
        </w:tc>
        <w:tc>
          <w:tcPr>
            <w:tcW w:w="4819" w:type="dxa"/>
          </w:tcPr>
          <w:p>
            <w:pPr>
              <w:rPr>
                <w:sz w:val="19"/>
                <w:szCs w:val="19"/>
              </w:rPr>
            </w:pPr>
            <w:r>
              <w:rPr>
                <w:sz w:val="19"/>
                <w:szCs w:val="19"/>
              </w:rPr>
              <w:t xml:space="preserve">Plain English description of the document created</w:t>
            </w:r>
          </w:p>
        </w:tc>
      </w:tr>
    </w:tbl>
    <w:p/>
    <w:p>
      <w:pPr>
        <w:rPr>
          <w:sz w:val="21"/>
          <w:szCs w:val="21"/>
        </w:rPr>
      </w:pPr>
      <w:r>
        <w:rPr>
          <w:sz w:val="21"/>
          <w:szCs w:val="21"/>
        </w:rPr>
        <w:t xml:space="preserve">The picker lists what </w:t>
      </w:r>
      <w:r>
        <w:rPr>
          <w:sz w:val="21"/>
          <w:szCs w:val="21"/>
          <w:b/>
        </w:rPr>
        <w:t xml:space="preserve">this</w:t>
      </w:r>
      <w:r>
        <w:rPr>
          <w:sz w:val="21"/>
          <w:szCs w:val="21"/>
        </w:rPr>
        <w:t xml:space="preserve"> company actually has. If it is empty, the definitions have not been read yet — run the definitions sync (below) and they appear.</w:t>
      </w:r>
    </w:p>
    <w:p>
      <w:pPr>
        <w:rPr>
          <w:sz w:val="21"/>
          <w:szCs w:val="21"/>
        </w:rPr>
      </w:pPr>
      <w:r>
        <w:rPr>
          <w:sz w:val="21"/>
          <w:szCs w:val="21"/>
          <w:b/>
        </w:rPr>
        <w:t xml:space="preserve">A process with nothing mapped refuses to post.</w:t>
      </w:r>
      <w:r>
        <w:rPr>
          <w:sz w:val="21"/>
          <w:szCs w:val="21"/>
        </w:rPr>
        <w:t xml:space="preserve"> That is deliberate: the alternative is sending a definition name borrowed from somebody else's company.</w:t>
      </w:r>
    </w:p>
    <w:p>
      <w:pPr>
        <w:shd w:val="clear" w:color="auto" w:fill="E7F4ED"/>
        <w:pBdr>
          <w:left w:val="single" w:sz="18" w:space="8" w:color="007E45"/>
        </w:pBdr>
        <w:ind w:left="200" w:right="200"/>
        <w:rPr>
          <w:sz w:val="20"/>
          <w:szCs w:val="20"/>
        </w:rPr>
      </w:pPr>
      <w:r>
        <w:rPr>
          <w:sz w:val="20"/>
          <w:szCs w:val="20"/>
          <w:b/>
        </w:rPr>
        <w:t xml:space="preserve">Screenshot 3 — The Transactions table</w:t>
      </w:r>
      <w:r>
        <w:rPr>
          <w:sz w:val="20"/>
          <w:szCs w:val="20"/>
        </w:rPr>
        <w:t xml:space="preserve"> </w:t>
      </w:r>
      <w:r>
        <w:rPr>
          <w:sz w:val="20"/>
          <w:szCs w:val="20"/>
          <w:i/>
        </w:rPr>
        <w:t xml:space="preserve">[to be inserted: process rows with the definition picker open]</w:t>
      </w:r>
    </w:p>
    <w:p>
      <w:pPr>
        <w:pStyle w:val="Heading1"/>
        <w:spacing w:before="320"/>
        <w:rPr>
          <w:color w:val="007E45"/>
          <w:sz w:val="32"/>
          <w:szCs w:val="32"/>
          <w:b/>
        </w:rPr>
      </w:pPr>
      <w:r>
        <w:rPr>
          <w:color w:val="007E45"/>
          <w:sz w:val="32"/>
          <w:szCs w:val="32"/>
          <w:b/>
        </w:rPr>
        <w:t xml:space="preserve">Active Modules</w:t>
      </w:r>
    </w:p>
    <w:p>
      <w:pPr>
        <w:rPr>
          <w:sz w:val="21"/>
          <w:szCs w:val="21"/>
        </w:rPr>
      </w:pPr>
      <w:r>
        <w:rPr>
          <w:sz w:val="21"/>
          <w:szCs w:val="21"/>
        </w:rPr>
        <w:t xml:space="preserve">Which parts of Fuse this client uses. Untick one and its tile disappears from Fuse Home, the role loses access to the documents behind it, and the action itself refuses with a message naming the module.</w:t>
      </w:r>
    </w:p>
    <w:p>
      <w:pPr>
        <w:rPr>
          <w:sz w:val="21"/>
          <w:szCs w:val="21"/>
        </w:rPr>
      </w:pPr>
      <w:r>
        <w:rPr>
          <w:sz w:val="21"/>
          <w:szCs w:val="21"/>
        </w:rPr>
        <w:t xml:space="preserve">Switching a module off is safe and reversible — nothing is deleted, and ticking it again restores access immediately.</w:t>
      </w:r>
    </w:p>
    <w:p>
      <w:pPr>
        <w:shd w:val="clear" w:color="auto" w:fill="E7F4ED"/>
        <w:pBdr>
          <w:left w:val="single" w:sz="18" w:space="8" w:color="007E45"/>
        </w:pBdr>
        <w:ind w:left="200" w:right="200"/>
        <w:rPr>
          <w:sz w:val="20"/>
          <w:szCs w:val="20"/>
        </w:rPr>
      </w:pPr>
      <w:r>
        <w:rPr>
          <w:sz w:val="20"/>
          <w:szCs w:val="20"/>
          <w:b/>
        </w:rPr>
        <w:t xml:space="preserve">Screenshot 4 — Active Modules</w:t>
      </w:r>
      <w:r>
        <w:rPr>
          <w:sz w:val="20"/>
          <w:szCs w:val="20"/>
        </w:rPr>
        <w:t xml:space="preserve"> </w:t>
      </w:r>
      <w:r>
        <w:rPr>
          <w:sz w:val="20"/>
          <w:szCs w:val="20"/>
          <w:i/>
        </w:rPr>
        <w:t xml:space="preserve">[to be inserted: the module list with the tick column]</w:t>
      </w:r>
    </w:p>
    <w:p>
      <w:pPr>
        <w:pStyle w:val="Heading1"/>
        <w:spacing w:before="320"/>
        <w:rPr>
          <w:color w:val="007E45"/>
          <w:sz w:val="32"/>
          <w:szCs w:val="32"/>
          <w:b/>
        </w:rPr>
      </w:pPr>
      <w:r>
        <w:rPr>
          <w:color w:val="007E45"/>
          <w:sz w:val="32"/>
          <w:szCs w:val="32"/>
          <w:b/>
        </w:rPr>
        <w:t xml:space="preserve">Tuning and Status</w:t>
      </w:r>
    </w:p>
    <w:p>
      <w:pPr>
        <w:rPr>
          <w:sz w:val="21"/>
          <w:szCs w:val="21"/>
        </w:rPr>
      </w:pPr>
      <w:r>
        <w:rPr>
          <w:sz w:val="21"/>
          <w:szCs w:val="21"/>
          <w:b/>
        </w:rPr>
        <w:t xml:space="preserve">Query Page Size</w:t>
      </w:r>
      <w:r>
        <w:rPr>
          <w:sz w:val="21"/>
          <w:szCs w:val="21"/>
        </w:rPr>
        <w:t xml:space="preserve"> — how many records are read per request. Intacct's own guidance is to stay under about 1000; larger pages tend to time out rather than fail cleanly.</w:t>
      </w:r>
    </w:p>
    <w:p>
      <w:pPr>
        <w:rPr>
          <w:sz w:val="21"/>
          <w:szCs w:val="21"/>
        </w:rPr>
      </w:pPr>
      <w:r>
        <w:rPr>
          <w:sz w:val="21"/>
          <w:szCs w:val="21"/>
          <w:b/>
        </w:rPr>
        <w:t xml:space="preserve">Max Attempts</w:t>
      </w:r>
      <w:r>
        <w:rPr>
          <w:sz w:val="21"/>
          <w:szCs w:val="21"/>
        </w:rPr>
        <w:t xml:space="preserve"> — how many times a transient failure is retried. A genuine rejection is never retried.</w:t>
      </w:r>
    </w:p>
    <w:p>
      <w:pPr>
        <w:rPr>
          <w:sz w:val="21"/>
          <w:szCs w:val="21"/>
        </w:rPr>
      </w:pPr>
      <w:r>
        <w:rPr>
          <w:sz w:val="21"/>
          <w:szCs w:val="21"/>
          <w:b/>
        </w:rPr>
        <w:t xml:space="preserve">Request Timeout</w:t>
      </w:r>
      <w:r>
        <w:rPr>
          <w:sz w:val="21"/>
          <w:szCs w:val="21"/>
        </w:rPr>
        <w:t xml:space="preserve"> — seconds before a call is abandoned.</w:t>
      </w:r>
    </w:p>
    <w:p>
      <w:pPr>
        <w:rPr>
          <w:sz w:val="21"/>
          <w:szCs w:val="21"/>
        </w:rPr>
      </w:pPr>
      <w:r>
        <w:rPr>
          <w:sz w:val="21"/>
          <w:szCs w:val="21"/>
        </w:rPr>
        <w:t xml:space="preserve">The </w:t>
      </w:r>
      <w:r>
        <w:rPr>
          <w:sz w:val="21"/>
          <w:szCs w:val="21"/>
          <w:b/>
        </w:rPr>
        <w:t xml:space="preserve">Status</w:t>
      </w:r>
      <w:r>
        <w:rPr>
          <w:sz w:val="21"/>
          <w:szCs w:val="21"/>
        </w:rPr>
        <w:t xml:space="preserve"> section is read-only and shows when the last sync ran and what it returned. It is the first place to look when data seems stale.</w:t>
      </w:r>
    </w:p>
    <w:p>
      <w:pPr>
        <w:pStyle w:val="Heading1"/>
        <w:spacing w:before="320"/>
        <w:rPr>
          <w:color w:val="007E45"/>
          <w:sz w:val="32"/>
          <w:szCs w:val="32"/>
          <w:b/>
        </w:rPr>
      </w:pPr>
      <w:r>
        <w:rPr>
          <w:color w:val="007E45"/>
          <w:sz w:val="32"/>
          <w:szCs w:val="32"/>
          <w:b/>
        </w:rPr>
        <w:t xml:space="preserve">Keeping it in step</w:t>
      </w:r>
    </w:p>
    <w:tbl>
      <w:tblPr>
        <w:tblW w:w="9638" w:type="dxa"/>
        <w:tblBorders>
          <w:top w:val="single" w:sz="4" w:space="0" w:color="DCE5E0"/>
          <w:left w:val="single" w:sz="4" w:space="0" w:color="DCE5E0"/>
          <w:bottom w:val="single" w:sz="4" w:space="0" w:color="DCE5E0"/>
          <w:right w:val="single" w:sz="4" w:space="0" w:color="DCE5E0"/>
          <w:insideH w:val="single" w:sz="4" w:space="0" w:color="DCE5E0"/>
          <w:insideV w:val="single" w:sz="4" w:space="0" w:color="DCE5E0"/>
        </w:tblBorders>
        <w:tblCellMar>
          <w:top w:w="60" w:type="dxa"/>
          <w:bottom w:w="60" w:type="dxa"/>
          <w:left w:w="100" w:type="dxa"/>
          <w:right w:w="100" w:type="dxa"/>
        </w:tblCellMar>
      </w:tblPr>
      <w:tblGrid>
        <w:gridCol w:w="4819"/>
        <w:gridCol w:w="4819"/>
      </w:tblGrid>
      <w:tr>
        <w:trPr>
          <w:tblHeader/>
        </w:trPr>
        <w:tc>
          <w:tcPr>
            <w:tcW w:w="4819" w:type="dxa"/>
            <w:shd w:val="clear" w:color="auto" w:fill="E7F4ED"/>
          </w:tcPr>
          <w:p>
            <w:pPr>
              <w:rPr>
                <w:sz w:val="19"/>
                <w:szCs w:val="19"/>
                <w:b/>
              </w:rPr>
            </w:pPr>
            <w:r>
              <w:rPr>
                <w:sz w:val="19"/>
                <w:szCs w:val="19"/>
                <w:b/>
              </w:rPr>
              <w:t xml:space="preserve">Job</w:t>
            </w:r>
          </w:p>
        </w:tc>
        <w:tc>
          <w:tcPr>
            <w:tcW w:w="4819" w:type="dxa"/>
            <w:shd w:val="clear" w:color="auto" w:fill="E7F4ED"/>
          </w:tcPr>
          <w:p>
            <w:pPr>
              <w:rPr>
                <w:sz w:val="19"/>
                <w:szCs w:val="19"/>
                <w:b/>
              </w:rPr>
            </w:pPr>
            <w:r>
              <w:rPr>
                <w:sz w:val="19"/>
                <w:szCs w:val="19"/>
                <w:b/>
              </w:rPr>
              <w:t xml:space="preserve">What it does</w:t>
            </w:r>
          </w:p>
        </w:tc>
      </w:tr>
      <w:tr>
        <w:tc>
          <w:tcPr>
            <w:tcW w:w="4819" w:type="dxa"/>
          </w:tcPr>
          <w:p>
            <w:pPr>
              <w:rPr>
                <w:sz w:val="19"/>
                <w:szCs w:val="19"/>
              </w:rPr>
            </w:pPr>
            <w:r>
              <w:rPr>
                <w:sz w:val="19"/>
                <w:szCs w:val="19"/>
                <w:rFonts w:ascii="Consolas" w:hAnsi="Consolas"/>
                <w:sz w:val="19"/>
              </w:rPr>
              <w:t xml:space="preserve">masters.sync_transaction_definitions</w:t>
            </w:r>
          </w:p>
        </w:tc>
        <w:tc>
          <w:tcPr>
            <w:tcW w:w="4819" w:type="dxa"/>
          </w:tcPr>
          <w:p>
            <w:pPr>
              <w:rPr>
                <w:sz w:val="19"/>
                <w:szCs w:val="19"/>
              </w:rPr>
            </w:pPr>
            <w:r>
              <w:rPr>
                <w:sz w:val="19"/>
                <w:szCs w:val="19"/>
              </w:rPr>
              <w:t xml:space="preserve">Reads this company's definitions so the Transactions picker is populated</w:t>
            </w:r>
          </w:p>
        </w:tc>
      </w:tr>
      <w:tr>
        <w:tc>
          <w:tcPr>
            <w:tcW w:w="4819" w:type="dxa"/>
          </w:tcPr>
          <w:p>
            <w:pPr>
              <w:rPr>
                <w:sz w:val="19"/>
                <w:szCs w:val="19"/>
              </w:rPr>
            </w:pPr>
            <w:r>
              <w:rPr>
                <w:sz w:val="19"/>
                <w:szCs w:val="19"/>
                <w:rFonts w:ascii="Consolas" w:hAnsi="Consolas"/>
                <w:sz w:val="19"/>
              </w:rPr>
              <w:t xml:space="preserve">masters.sync_purchase_orders</w:t>
            </w:r>
          </w:p>
        </w:tc>
        <w:tc>
          <w:tcPr>
            <w:tcW w:w="4819" w:type="dxa"/>
          </w:tcPr>
          <w:p>
            <w:pPr>
              <w:rPr>
                <w:sz w:val="19"/>
                <w:szCs w:val="19"/>
              </w:rPr>
            </w:pPr>
            <w:r>
              <w:rPr>
                <w:sz w:val="19"/>
                <w:szCs w:val="19"/>
              </w:rPr>
              <w:t xml:space="preserve">Refreshes mirrored orders and their line keys</w:t>
            </w:r>
          </w:p>
        </w:tc>
      </w:tr>
      <w:tr>
        <w:tc>
          <w:tcPr>
            <w:tcW w:w="4819" w:type="dxa"/>
          </w:tcPr>
          <w:p>
            <w:pPr>
              <w:rPr>
                <w:sz w:val="19"/>
                <w:szCs w:val="19"/>
              </w:rPr>
            </w:pPr>
            <w:r>
              <w:rPr>
                <w:sz w:val="19"/>
                <w:szCs w:val="19"/>
                <w:rFonts w:ascii="Consolas" w:hAnsi="Consolas"/>
                <w:sz w:val="19"/>
              </w:rPr>
              <w:t xml:space="preserve">masters.sync_items</w:t>
            </w:r>
          </w:p>
        </w:tc>
        <w:tc>
          <w:tcPr>
            <w:tcW w:w="4819" w:type="dxa"/>
          </w:tcPr>
          <w:p>
            <w:pPr>
              <w:rPr>
                <w:sz w:val="19"/>
                <w:szCs w:val="19"/>
              </w:rPr>
            </w:pPr>
            <w:r>
              <w:rPr>
                <w:sz w:val="19"/>
                <w:szCs w:val="19"/>
              </w:rPr>
              <w:t xml:space="preserve">Items, barcodes and tracking flags — runs hourly</w:t>
            </w:r>
          </w:p>
        </w:tc>
      </w:tr>
      <w:tr>
        <w:tc>
          <w:tcPr>
            <w:tcW w:w="4819" w:type="dxa"/>
          </w:tcPr>
          <w:p>
            <w:pPr>
              <w:rPr>
                <w:sz w:val="19"/>
                <w:szCs w:val="19"/>
              </w:rPr>
            </w:pPr>
            <w:r>
              <w:rPr>
                <w:sz w:val="19"/>
                <w:szCs w:val="19"/>
                <w:rFonts w:ascii="Consolas" w:hAnsi="Consolas"/>
                <w:sz w:val="19"/>
              </w:rPr>
              <w:t xml:space="preserve">install.after_install</w:t>
            </w:r>
          </w:p>
        </w:tc>
        <w:tc>
          <w:tcPr>
            <w:tcW w:w="4819" w:type="dxa"/>
          </w:tcPr>
          <w:p>
            <w:pPr>
              <w:rPr>
                <w:sz w:val="19"/>
                <w:szCs w:val="19"/>
              </w:rPr>
            </w:pPr>
            <w:r>
              <w:rPr>
                <w:sz w:val="19"/>
                <w:szCs w:val="19"/>
              </w:rPr>
              <w:t xml:space="preserve">Re-applies fields, roles and the settings tables. Safe to run at any time</w:t>
            </w:r>
          </w:p>
        </w:tc>
      </w:tr>
    </w:tbl>
    <w:p/>
    <w:p>
      <w:pPr>
        <w:pStyle w:val="Heading1"/>
        <w:spacing w:before="320"/>
        <w:rPr>
          <w:color w:val="007E45"/>
          <w:sz w:val="32"/>
          <w:szCs w:val="32"/>
          <w:b/>
        </w:rPr>
      </w:pPr>
      <w:r>
        <w:rPr>
          <w:color w:val="007E45"/>
          <w:sz w:val="32"/>
          <w:szCs w:val="32"/>
          <w:b/>
        </w:rPr>
        <w:t xml:space="preserve">If something goes wrong</w:t>
      </w:r>
    </w:p>
    <w:tbl>
      <w:tblPr>
        <w:tblW w:w="9638" w:type="dxa"/>
        <w:tblBorders>
          <w:top w:val="single" w:sz="4" w:space="0" w:color="DCE5E0"/>
          <w:left w:val="single" w:sz="4" w:space="0" w:color="DCE5E0"/>
          <w:bottom w:val="single" w:sz="4" w:space="0" w:color="DCE5E0"/>
          <w:right w:val="single" w:sz="4" w:space="0" w:color="DCE5E0"/>
          <w:insideH w:val="single" w:sz="4" w:space="0" w:color="DCE5E0"/>
          <w:insideV w:val="single" w:sz="4" w:space="0" w:color="DCE5E0"/>
        </w:tblBorders>
        <w:tblCellMar>
          <w:top w:w="60" w:type="dxa"/>
          <w:bottom w:w="60" w:type="dxa"/>
          <w:left w:w="100" w:type="dxa"/>
          <w:right w:w="100" w:type="dxa"/>
        </w:tblCellMar>
      </w:tblPr>
      <w:tblGrid>
        <w:gridCol w:w="4819"/>
        <w:gridCol w:w="4819"/>
      </w:tblGrid>
      <w:tr>
        <w:trPr>
          <w:tblHeader/>
        </w:trPr>
        <w:tc>
          <w:tcPr>
            <w:tcW w:w="4819" w:type="dxa"/>
            <w:shd w:val="clear" w:color="auto" w:fill="E7F4ED"/>
          </w:tcPr>
          <w:p>
            <w:pPr>
              <w:rPr>
                <w:sz w:val="19"/>
                <w:szCs w:val="19"/>
                <w:b/>
              </w:rPr>
            </w:pPr>
            <w:r>
              <w:rPr>
                <w:sz w:val="19"/>
                <w:szCs w:val="19"/>
                <w:b/>
              </w:rPr>
              <w:t xml:space="preserve">What you see</w:t>
            </w:r>
          </w:p>
        </w:tc>
        <w:tc>
          <w:tcPr>
            <w:tcW w:w="4819" w:type="dxa"/>
            <w:shd w:val="clear" w:color="auto" w:fill="E7F4ED"/>
          </w:tcPr>
          <w:p>
            <w:pPr>
              <w:rPr>
                <w:sz w:val="19"/>
                <w:szCs w:val="19"/>
                <w:b/>
              </w:rPr>
            </w:pPr>
            <w:r>
              <w:rPr>
                <w:sz w:val="19"/>
                <w:szCs w:val="19"/>
                <w:b/>
              </w:rPr>
              <w:t xml:space="preserve">What it means and what to do</w:t>
            </w:r>
          </w:p>
        </w:tc>
      </w:tr>
      <w:tr>
        <w:tc>
          <w:tcPr>
            <w:tcW w:w="4819" w:type="dxa"/>
          </w:tcPr>
          <w:p>
            <w:pPr>
              <w:rPr>
                <w:sz w:val="19"/>
                <w:szCs w:val="19"/>
              </w:rPr>
            </w:pPr>
            <w:r>
              <w:rPr>
                <w:sz w:val="19"/>
                <w:szCs w:val="19"/>
              </w:rPr>
              <w:t xml:space="preserve">No Intacct definition is mapped for a process</w:t>
            </w:r>
          </w:p>
        </w:tc>
        <w:tc>
          <w:tcPr>
            <w:tcW w:w="4819" w:type="dxa"/>
          </w:tcPr>
          <w:p>
            <w:pPr>
              <w:rPr>
                <w:sz w:val="19"/>
                <w:szCs w:val="19"/>
              </w:rPr>
            </w:pPr>
            <w:r>
              <w:rPr>
                <w:sz w:val="19"/>
                <w:szCs w:val="19"/>
              </w:rPr>
              <w:t xml:space="preserve">Set it under Transactions. If the picker is empty, run the definitions sync first.</w:t>
            </w:r>
          </w:p>
        </w:tc>
      </w:tr>
      <w:tr>
        <w:tc>
          <w:tcPr>
            <w:tcW w:w="4819" w:type="dxa"/>
          </w:tcPr>
          <w:p>
            <w:pPr>
              <w:rPr>
                <w:sz w:val="19"/>
                <w:szCs w:val="19"/>
              </w:rPr>
            </w:pPr>
            <w:r>
              <w:rPr>
                <w:sz w:val="19"/>
                <w:szCs w:val="19"/>
              </w:rPr>
              <w:t xml:space="preserve">Login rejected, BL01001973</w:t>
            </w:r>
          </w:p>
        </w:tc>
        <w:tc>
          <w:tcPr>
            <w:tcW w:w="4819" w:type="dxa"/>
          </w:tcPr>
          <w:p>
            <w:pPr>
              <w:rPr>
                <w:sz w:val="19"/>
                <w:szCs w:val="19"/>
              </w:rPr>
            </w:pPr>
            <w:r>
              <w:rPr>
                <w:sz w:val="19"/>
                <w:szCs w:val="19"/>
              </w:rPr>
              <w:t xml:space="preserve">The entity is missing or wrong. Manufacturing definitions are entity-only.</w:t>
            </w:r>
          </w:p>
        </w:tc>
      </w:tr>
      <w:tr>
        <w:tc>
          <w:tcPr>
            <w:tcW w:w="4819" w:type="dxa"/>
          </w:tcPr>
          <w:p>
            <w:pPr>
              <w:rPr>
                <w:sz w:val="19"/>
                <w:szCs w:val="19"/>
              </w:rPr>
            </w:pPr>
            <w:r>
              <w:rPr>
                <w:sz w:val="19"/>
                <w:szCs w:val="19"/>
              </w:rPr>
              <w:t xml:space="preserve">A movement recorded but nothing in Intacct</w:t>
            </w:r>
          </w:p>
        </w:tc>
        <w:tc>
          <w:tcPr>
            <w:tcW w:w="4819" w:type="dxa"/>
          </w:tcPr>
          <w:p>
            <w:pPr>
              <w:rPr>
                <w:sz w:val="19"/>
                <w:szCs w:val="19"/>
              </w:rPr>
            </w:pPr>
            <w:r>
              <w:rPr>
                <w:sz w:val="19"/>
                <w:szCs w:val="19"/>
              </w:rPr>
              <w:t xml:space="preserve">Post Stock Movements is off.</w:t>
            </w:r>
          </w:p>
        </w:tc>
      </w:tr>
      <w:tr>
        <w:tc>
          <w:tcPr>
            <w:tcW w:w="4819" w:type="dxa"/>
          </w:tcPr>
          <w:p>
            <w:pPr>
              <w:rPr>
                <w:sz w:val="19"/>
                <w:szCs w:val="19"/>
              </w:rPr>
            </w:pPr>
            <w:r>
              <w:rPr>
                <w:sz w:val="19"/>
                <w:szCs w:val="19"/>
              </w:rPr>
              <w:t xml:space="preserve">The Transactions picker is empty</w:t>
            </w:r>
          </w:p>
        </w:tc>
        <w:tc>
          <w:tcPr>
            <w:tcW w:w="4819" w:type="dxa"/>
          </w:tcPr>
          <w:p>
            <w:pPr>
              <w:rPr>
                <w:sz w:val="19"/>
                <w:szCs w:val="19"/>
              </w:rPr>
            </w:pPr>
            <w:r>
              <w:rPr>
                <w:sz w:val="19"/>
                <w:szCs w:val="19"/>
              </w:rPr>
              <w:t xml:space="preserve">The definitions have never been read for this company.</w:t>
            </w:r>
          </w:p>
        </w:tc>
      </w:tr>
      <w:tr>
        <w:tc>
          <w:tcPr>
            <w:tcW w:w="4819" w:type="dxa"/>
          </w:tcPr>
          <w:p>
            <w:pPr>
              <w:rPr>
                <w:sz w:val="19"/>
                <w:szCs w:val="19"/>
              </w:rPr>
            </w:pPr>
            <w:r>
              <w:rPr>
                <w:sz w:val="19"/>
                <w:szCs w:val="19"/>
              </w:rPr>
              <w:t xml:space="preserve">Everything worked yesterday, nothing today</w:t>
            </w:r>
          </w:p>
        </w:tc>
        <w:tc>
          <w:tcPr>
            <w:tcW w:w="4819" w:type="dxa"/>
          </w:tcPr>
          <w:p>
            <w:pPr>
              <w:rPr>
                <w:sz w:val="19"/>
                <w:szCs w:val="19"/>
              </w:rPr>
            </w:pPr>
            <w:r>
              <w:rPr>
                <w:sz w:val="19"/>
                <w:szCs w:val="19"/>
              </w:rPr>
              <w:t xml:space="preserve">Check Status for the last sync result before changing any setting.</w:t>
            </w:r>
          </w:p>
        </w:tc>
      </w:tr>
    </w:tbl>
    <w:p/>
    <w:p>
      <w:pPr>
        <w:pStyle w:val="Heading1"/>
        <w:spacing w:before="320"/>
        <w:rPr>
          <w:color w:val="007E45"/>
          <w:sz w:val="32"/>
          <w:szCs w:val="32"/>
          <w:b/>
        </w:rPr>
      </w:pPr>
      <w:r>
        <w:rPr>
          <w:color w:val="007E45"/>
          <w:sz w:val="32"/>
          <w:szCs w:val="32"/>
          <w:b/>
        </w:rPr>
        <w:t xml:space="preserve">Quick reference</w:t>
      </w:r>
    </w:p>
    <w:tbl>
      <w:tblPr>
        <w:tblW w:w="9638" w:type="dxa"/>
        <w:tblBorders>
          <w:top w:val="single" w:sz="4" w:space="0" w:color="DCE5E0"/>
          <w:left w:val="single" w:sz="4" w:space="0" w:color="DCE5E0"/>
          <w:bottom w:val="single" w:sz="4" w:space="0" w:color="DCE5E0"/>
          <w:right w:val="single" w:sz="4" w:space="0" w:color="DCE5E0"/>
          <w:insideH w:val="single" w:sz="4" w:space="0" w:color="DCE5E0"/>
          <w:insideV w:val="single" w:sz="4" w:space="0" w:color="DCE5E0"/>
        </w:tblBorders>
        <w:tblCellMar>
          <w:top w:w="60" w:type="dxa"/>
          <w:bottom w:w="60" w:type="dxa"/>
          <w:left w:w="100" w:type="dxa"/>
          <w:right w:w="100" w:type="dxa"/>
        </w:tblCellMar>
      </w:tblPr>
      <w:tblGrid>
        <w:gridCol w:w="4819"/>
        <w:gridCol w:w="4819"/>
      </w:tblGrid>
      <w:tr>
        <w:trPr>
          <w:tblHeader/>
        </w:trPr>
        <w:tc>
          <w:tcPr>
            <w:tcW w:w="4819" w:type="dxa"/>
            <w:shd w:val="clear" w:color="auto" w:fill="E7F4ED"/>
          </w:tcPr>
          <w:p>
            <w:pPr>
              <w:rPr>
                <w:sz w:val="19"/>
                <w:szCs w:val="19"/>
                <w:b/>
              </w:rPr>
            </w:pPr>
            <w:r>
              <w:rPr>
                <w:sz w:val="19"/>
                <w:szCs w:val="19"/>
                <w:b/>
              </w:rPr>
              <w:t xml:space="preserve">Task</w:t>
            </w:r>
          </w:p>
        </w:tc>
        <w:tc>
          <w:tcPr>
            <w:tcW w:w="4819" w:type="dxa"/>
            <w:shd w:val="clear" w:color="auto" w:fill="E7F4ED"/>
          </w:tcPr>
          <w:p>
            <w:pPr>
              <w:rPr>
                <w:sz w:val="19"/>
                <w:szCs w:val="19"/>
                <w:b/>
              </w:rPr>
            </w:pPr>
            <w:r>
              <w:rPr>
                <w:sz w:val="19"/>
                <w:szCs w:val="19"/>
                <w:b/>
              </w:rPr>
              <w:t xml:space="preserve">Where</w:t>
            </w:r>
          </w:p>
        </w:tc>
      </w:tr>
      <w:tr>
        <w:tc>
          <w:tcPr>
            <w:tcW w:w="4819" w:type="dxa"/>
          </w:tcPr>
          <w:p>
            <w:pPr>
              <w:rPr>
                <w:sz w:val="19"/>
                <w:szCs w:val="19"/>
              </w:rPr>
            </w:pPr>
            <w:r>
              <w:rPr>
                <w:sz w:val="19"/>
                <w:szCs w:val="19"/>
              </w:rPr>
              <w:t xml:space="preserve">Stop all Intacct traffic</w:t>
            </w:r>
          </w:p>
        </w:tc>
        <w:tc>
          <w:tcPr>
            <w:tcW w:w="4819" w:type="dxa"/>
          </w:tcPr>
          <w:p>
            <w:pPr>
              <w:rPr>
                <w:sz w:val="19"/>
                <w:szCs w:val="19"/>
              </w:rPr>
            </w:pPr>
            <w:r>
              <w:rPr>
                <w:sz w:val="19"/>
                <w:szCs w:val="19"/>
              </w:rPr>
              <w:t xml:space="preserve">Untick Enabled</w:t>
            </w:r>
          </w:p>
        </w:tc>
      </w:tr>
      <w:tr>
        <w:tc>
          <w:tcPr>
            <w:tcW w:w="4819" w:type="dxa"/>
          </w:tcPr>
          <w:p>
            <w:pPr>
              <w:rPr>
                <w:sz w:val="19"/>
                <w:szCs w:val="19"/>
              </w:rPr>
            </w:pPr>
            <w:r>
              <w:rPr>
                <w:sz w:val="19"/>
                <w:szCs w:val="19"/>
              </w:rPr>
              <w:t xml:space="preserve">Stop posting but keep syncing</w:t>
            </w:r>
          </w:p>
        </w:tc>
        <w:tc>
          <w:tcPr>
            <w:tcW w:w="4819" w:type="dxa"/>
          </w:tcPr>
          <w:p>
            <w:pPr>
              <w:rPr>
                <w:sz w:val="19"/>
                <w:szCs w:val="19"/>
              </w:rPr>
            </w:pPr>
            <w:r>
              <w:rPr>
                <w:sz w:val="19"/>
                <w:szCs w:val="19"/>
              </w:rPr>
              <w:t xml:space="preserve">Untick Post Stock Movements</w:t>
            </w:r>
          </w:p>
        </w:tc>
      </w:tr>
      <w:tr>
        <w:tc>
          <w:tcPr>
            <w:tcW w:w="4819" w:type="dxa"/>
          </w:tcPr>
          <w:p>
            <w:pPr>
              <w:rPr>
                <w:sz w:val="19"/>
                <w:szCs w:val="19"/>
              </w:rPr>
            </w:pPr>
            <w:r>
              <w:rPr>
                <w:sz w:val="19"/>
                <w:szCs w:val="19"/>
              </w:rPr>
              <w:t xml:space="preserve">Point receiving at the right document</w:t>
            </w:r>
          </w:p>
        </w:tc>
        <w:tc>
          <w:tcPr>
            <w:tcW w:w="4819" w:type="dxa"/>
          </w:tcPr>
          <w:p>
            <w:pPr>
              <w:rPr>
                <w:sz w:val="19"/>
                <w:szCs w:val="19"/>
              </w:rPr>
            </w:pPr>
            <w:r>
              <w:rPr>
                <w:sz w:val="19"/>
                <w:szCs w:val="19"/>
              </w:rPr>
              <w:t xml:space="preserve">Transactions → Receiving goods</w:t>
            </w:r>
          </w:p>
        </w:tc>
      </w:tr>
      <w:tr>
        <w:tc>
          <w:tcPr>
            <w:tcW w:w="4819" w:type="dxa"/>
          </w:tcPr>
          <w:p>
            <w:pPr>
              <w:rPr>
                <w:sz w:val="19"/>
                <w:szCs w:val="19"/>
              </w:rPr>
            </w:pPr>
            <w:r>
              <w:rPr>
                <w:sz w:val="19"/>
                <w:szCs w:val="19"/>
              </w:rPr>
              <w:t xml:space="preserve">Turn a feature off for this client</w:t>
            </w:r>
          </w:p>
        </w:tc>
        <w:tc>
          <w:tcPr>
            <w:tcW w:w="4819" w:type="dxa"/>
          </w:tcPr>
          <w:p>
            <w:pPr>
              <w:rPr>
                <w:sz w:val="19"/>
                <w:szCs w:val="19"/>
              </w:rPr>
            </w:pPr>
            <w:r>
              <w:rPr>
                <w:sz w:val="19"/>
                <w:szCs w:val="19"/>
              </w:rPr>
              <w:t xml:space="preserve">Active Modules</w:t>
            </w:r>
          </w:p>
        </w:tc>
      </w:tr>
      <w:tr>
        <w:tc>
          <w:tcPr>
            <w:tcW w:w="4819" w:type="dxa"/>
          </w:tcPr>
          <w:p>
            <w:pPr>
              <w:rPr>
                <w:sz w:val="19"/>
                <w:szCs w:val="19"/>
              </w:rPr>
            </w:pPr>
            <w:r>
              <w:rPr>
                <w:sz w:val="19"/>
                <w:szCs w:val="19"/>
              </w:rPr>
              <w:t xml:space="preserve">Send damaged goods somewhere</w:t>
            </w:r>
          </w:p>
        </w:tc>
        <w:tc>
          <w:tcPr>
            <w:tcW w:w="4819" w:type="dxa"/>
          </w:tcPr>
          <w:p>
            <w:pPr>
              <w:rPr>
                <w:sz w:val="19"/>
                <w:szCs w:val="19"/>
              </w:rPr>
            </w:pPr>
            <w:r>
              <w:rPr>
                <w:sz w:val="19"/>
                <w:szCs w:val="19"/>
              </w:rPr>
              <w:t xml:space="preserve">Defaults → Receiving Rejects Warehouse</w:t>
            </w:r>
          </w:p>
        </w:tc>
      </w:tr>
    </w:tbl>
    <w:p/>
    <w:sectPr w:rsidR="0003612B">
      <w:head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D6D14" w14:textId="77777777" w:rsidR="0003612B" w:rsidRDefault="0003612B" w:rsidP="0069772D">
      <w:r>
        <w:separator/>
      </w:r>
    </w:p>
  </w:endnote>
  <w:endnote w:type="continuationSeparator" w:id="0">
    <w:p w14:paraId="18FAE73A" w14:textId="77777777" w:rsidR="0003612B" w:rsidRDefault="0003612B" w:rsidP="00697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363B7" w14:textId="77777777" w:rsidR="0003612B" w:rsidRDefault="0003612B" w:rsidP="0069772D">
      <w:r>
        <w:separator/>
      </w:r>
    </w:p>
  </w:footnote>
  <w:footnote w:type="continuationSeparator" w:id="0">
    <w:p w14:paraId="4578B4A2" w14:textId="77777777" w:rsidR="0003612B" w:rsidRDefault="0003612B" w:rsidP="00697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1262" w14:textId="74CA8C8B" w:rsidR="0069772D" w:rsidRDefault="0069772D" w:rsidP="0069772D">
    <w:pPr>
      <w:pStyle w:val="Header"/>
      <w:rPr>
        <w:b/>
        <w:bCs/>
        <w:color w:val="007E45"/>
        <w:sz w:val="44"/>
        <w:szCs w:val="44"/>
      </w:rPr>
    </w:pPr>
    <w:r>
      <w:rPr>
        <w:noProof/>
      </w:rPr>
      <w:drawing>
        <wp:anchor distT="0" distB="0" distL="114300" distR="114300" simplePos="0" relativeHeight="251659264" behindDoc="1" locked="0" layoutInCell="1" allowOverlap="1" wp14:anchorId="709FDB04" wp14:editId="1525830E">
          <wp:simplePos x="0" y="0"/>
          <wp:positionH relativeFrom="margin">
            <wp:align>right</wp:align>
          </wp:positionH>
          <wp:positionV relativeFrom="paragraph">
            <wp:posOffset>8890</wp:posOffset>
          </wp:positionV>
          <wp:extent cx="762000" cy="766445"/>
          <wp:effectExtent l="0" t="0" r="0" b="0"/>
          <wp:wrapTight wrapText="bothSides">
            <wp:wrapPolygon edited="0">
              <wp:start x="6480" y="0"/>
              <wp:lineTo x="0" y="3221"/>
              <wp:lineTo x="0" y="14495"/>
              <wp:lineTo x="1080" y="17717"/>
              <wp:lineTo x="6480" y="20938"/>
              <wp:lineTo x="7020" y="20938"/>
              <wp:lineTo x="14040" y="20938"/>
              <wp:lineTo x="14580" y="20938"/>
              <wp:lineTo x="19980" y="17717"/>
              <wp:lineTo x="21060" y="13959"/>
              <wp:lineTo x="21060" y="3221"/>
              <wp:lineTo x="14580" y="0"/>
              <wp:lineTo x="6480" y="0"/>
            </wp:wrapPolygon>
          </wp:wrapTight>
          <wp:docPr id="202469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766445"/>
                  </a:xfrm>
                  <a:prstGeom prst="rect">
                    <a:avLst/>
                  </a:prstGeom>
                  <a:noFill/>
                  <a:ln>
                    <a:noFill/>
                  </a:ln>
                </pic:spPr>
              </pic:pic>
            </a:graphicData>
          </a:graphic>
        </wp:anchor>
      </w:drawing>
    </w:r>
  </w:p>
  <w:p w14:paraId="298A7497" w14:textId="77777777" w:rsidR="0069772D" w:rsidRDefault="0069772D" w:rsidP="0069772D">
    <w:pPr>
      <w:pStyle w:val="Header"/>
      <w:rPr>
        <w:b/>
        <w:bCs/>
        <w:color w:val="007E45"/>
        <w:sz w:val="44"/>
        <w:szCs w:val="44"/>
      </w:rPr>
    </w:pPr>
  </w:p>
  <w:p w14:paraId="5C3486CC" w14:textId="5B2169B4" w:rsidR="0069772D" w:rsidRDefault="0069772D" w:rsidP="0069772D">
    <w:pPr>
      <w:spacing w:after="60"/>
      <w:jc w:val="center"/>
    </w:pPr>
    <w:r>
      <w:rPr>
        <w:b/>
        <w:bCs/>
        <w:color w:val="007E45"/>
        <w:sz w:val="44"/>
        <w:szCs w:val="44"/>
      </w:rPr>
      <w:t>Intacct Settings</w:t>
    </w:r>
  </w:p>
  <w:p w14:paraId="66241CB8" w14:textId="77777777" w:rsidR="0069772D" w:rsidRDefault="0069772D" w:rsidP="0069772D">
    <w:pPr>
      <w:spacing w:after="60"/>
      <w:jc w:val="center"/>
    </w:pPr>
    <w:r>
      <w:rPr>
        <w:color w:val="66756D"/>
        <w:sz w:val="24"/>
        <w:szCs w:val="24"/>
      </w:rPr>
      <w:t>The connection to Sage Intacct, and what each part of it controls — Fuse Manufacturing administrator guide 10</w:t>
    </w:r>
  </w:p>
  <w:p w14:paraId="1B886FC5" w14:textId="77777777" w:rsidR="0069772D" w:rsidRDefault="006977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0657C"/>
    <w:multiLevelType w:val="hybridMultilevel"/>
    <w:tmpl w:val="4A561B34"/>
    <w:lvl w:ilvl="0" w:tplc="1902A9F6">
      <w:start w:val="1"/>
      <w:numFmt w:val="decimal"/>
      <w:lvlText w:val="%1."/>
      <w:lvlJc w:val="left"/>
      <w:pPr>
        <w:ind w:left="700" w:hanging="360"/>
      </w:pPr>
    </w:lvl>
    <w:lvl w:ilvl="1" w:tplc="C93809CA">
      <w:numFmt w:val="decimal"/>
      <w:lvlText w:val=""/>
      <w:lvlJc w:val="left"/>
    </w:lvl>
    <w:lvl w:ilvl="2" w:tplc="C6D8FD0A">
      <w:numFmt w:val="decimal"/>
      <w:lvlText w:val=""/>
      <w:lvlJc w:val="left"/>
    </w:lvl>
    <w:lvl w:ilvl="3" w:tplc="09F43B8E">
      <w:numFmt w:val="decimal"/>
      <w:lvlText w:val=""/>
      <w:lvlJc w:val="left"/>
    </w:lvl>
    <w:lvl w:ilvl="4" w:tplc="4AE001E8">
      <w:numFmt w:val="decimal"/>
      <w:lvlText w:val=""/>
      <w:lvlJc w:val="left"/>
    </w:lvl>
    <w:lvl w:ilvl="5" w:tplc="75FE0B22">
      <w:numFmt w:val="decimal"/>
      <w:lvlText w:val=""/>
      <w:lvlJc w:val="left"/>
    </w:lvl>
    <w:lvl w:ilvl="6" w:tplc="880E065A">
      <w:numFmt w:val="decimal"/>
      <w:lvlText w:val=""/>
      <w:lvlJc w:val="left"/>
    </w:lvl>
    <w:lvl w:ilvl="7" w:tplc="2528EDB4">
      <w:numFmt w:val="decimal"/>
      <w:lvlText w:val=""/>
      <w:lvlJc w:val="left"/>
    </w:lvl>
    <w:lvl w:ilvl="8" w:tplc="97B44330">
      <w:numFmt w:val="decimal"/>
      <w:lvlText w:val=""/>
      <w:lvlJc w:val="left"/>
    </w:lvl>
  </w:abstractNum>
  <w:abstractNum w:abstractNumId="1" w15:restartNumberingAfterBreak="0">
    <w:nsid w:val="3C431E5F"/>
    <w:multiLevelType w:val="hybridMultilevel"/>
    <w:tmpl w:val="94108D3C"/>
    <w:lvl w:ilvl="0" w:tplc="A3D81884">
      <w:start w:val="1"/>
      <w:numFmt w:val="bullet"/>
      <w:lvlText w:val="●"/>
      <w:lvlJc w:val="left"/>
      <w:pPr>
        <w:ind w:left="720" w:hanging="360"/>
      </w:pPr>
    </w:lvl>
    <w:lvl w:ilvl="1" w:tplc="C5EC6270">
      <w:start w:val="1"/>
      <w:numFmt w:val="bullet"/>
      <w:lvlText w:val="○"/>
      <w:lvlJc w:val="left"/>
      <w:pPr>
        <w:ind w:left="1440" w:hanging="360"/>
      </w:pPr>
    </w:lvl>
    <w:lvl w:ilvl="2" w:tplc="D0D4FE80">
      <w:start w:val="1"/>
      <w:numFmt w:val="bullet"/>
      <w:lvlText w:val="■"/>
      <w:lvlJc w:val="left"/>
      <w:pPr>
        <w:ind w:left="2160" w:hanging="360"/>
      </w:pPr>
    </w:lvl>
    <w:lvl w:ilvl="3" w:tplc="06E02A34">
      <w:start w:val="1"/>
      <w:numFmt w:val="bullet"/>
      <w:lvlText w:val="●"/>
      <w:lvlJc w:val="left"/>
      <w:pPr>
        <w:ind w:left="2880" w:hanging="360"/>
      </w:pPr>
    </w:lvl>
    <w:lvl w:ilvl="4" w:tplc="520E41F8">
      <w:start w:val="1"/>
      <w:numFmt w:val="bullet"/>
      <w:lvlText w:val="○"/>
      <w:lvlJc w:val="left"/>
      <w:pPr>
        <w:ind w:left="3600" w:hanging="360"/>
      </w:pPr>
    </w:lvl>
    <w:lvl w:ilvl="5" w:tplc="2B56E89E">
      <w:start w:val="1"/>
      <w:numFmt w:val="bullet"/>
      <w:lvlText w:val="■"/>
      <w:lvlJc w:val="left"/>
      <w:pPr>
        <w:ind w:left="4320" w:hanging="360"/>
      </w:pPr>
    </w:lvl>
    <w:lvl w:ilvl="6" w:tplc="8586F4F8">
      <w:start w:val="1"/>
      <w:numFmt w:val="bullet"/>
      <w:lvlText w:val="●"/>
      <w:lvlJc w:val="left"/>
      <w:pPr>
        <w:ind w:left="5040" w:hanging="360"/>
      </w:pPr>
    </w:lvl>
    <w:lvl w:ilvl="7" w:tplc="57AA8620">
      <w:start w:val="1"/>
      <w:numFmt w:val="bullet"/>
      <w:lvlText w:val="●"/>
      <w:lvlJc w:val="left"/>
      <w:pPr>
        <w:ind w:left="5760" w:hanging="360"/>
      </w:pPr>
    </w:lvl>
    <w:lvl w:ilvl="8" w:tplc="18EC6660">
      <w:start w:val="1"/>
      <w:numFmt w:val="bullet"/>
      <w:lvlText w:val="●"/>
      <w:lvlJc w:val="left"/>
      <w:pPr>
        <w:ind w:left="6480" w:hanging="360"/>
      </w:pPr>
    </w:lvl>
  </w:abstractNum>
  <w:abstractNum w:abstractNumId="2" w15:restartNumberingAfterBreak="0">
    <w:nsid w:val="6EED42F3"/>
    <w:multiLevelType w:val="hybridMultilevel"/>
    <w:tmpl w:val="4A3C321E"/>
    <w:lvl w:ilvl="0" w:tplc="27D450A6">
      <w:start w:val="1"/>
      <w:numFmt w:val="lowerLetter"/>
      <w:lvlText w:val="%1)"/>
      <w:lvlJc w:val="left"/>
      <w:pPr>
        <w:ind w:left="1080" w:hanging="340"/>
      </w:pPr>
    </w:lvl>
    <w:lvl w:ilvl="1" w:tplc="6D921548">
      <w:numFmt w:val="decimal"/>
      <w:lvlText w:val=""/>
      <w:lvlJc w:val="left"/>
    </w:lvl>
    <w:lvl w:ilvl="2" w:tplc="EDAED7EE">
      <w:numFmt w:val="decimal"/>
      <w:lvlText w:val=""/>
      <w:lvlJc w:val="left"/>
    </w:lvl>
    <w:lvl w:ilvl="3" w:tplc="842CFFE6">
      <w:numFmt w:val="decimal"/>
      <w:lvlText w:val=""/>
      <w:lvlJc w:val="left"/>
    </w:lvl>
    <w:lvl w:ilvl="4" w:tplc="C14E76CC">
      <w:numFmt w:val="decimal"/>
      <w:lvlText w:val=""/>
      <w:lvlJc w:val="left"/>
    </w:lvl>
    <w:lvl w:ilvl="5" w:tplc="F4367CAC">
      <w:numFmt w:val="decimal"/>
      <w:lvlText w:val=""/>
      <w:lvlJc w:val="left"/>
    </w:lvl>
    <w:lvl w:ilvl="6" w:tplc="4406F496">
      <w:numFmt w:val="decimal"/>
      <w:lvlText w:val=""/>
      <w:lvlJc w:val="left"/>
    </w:lvl>
    <w:lvl w:ilvl="7" w:tplc="D4FE8F5A">
      <w:numFmt w:val="decimal"/>
      <w:lvlText w:val=""/>
      <w:lvlJc w:val="left"/>
    </w:lvl>
    <w:lvl w:ilvl="8" w:tplc="0BB47BCC">
      <w:numFmt w:val="decimal"/>
      <w:lvlText w:val=""/>
      <w:lvlJc w:val="left"/>
    </w:lvl>
  </w:abstractNum>
  <w:abstractNum w:abstractNumId="3" w15:restartNumberingAfterBreak="0">
    <w:nsid w:val="70A421E4"/>
    <w:multiLevelType w:val="hybridMultilevel"/>
    <w:tmpl w:val="E16C965C"/>
    <w:lvl w:ilvl="0" w:tplc="C28CF23E">
      <w:start w:val="1"/>
      <w:numFmt w:val="bullet"/>
      <w:lvlText w:val="•"/>
      <w:lvlJc w:val="left"/>
      <w:pPr>
        <w:ind w:left="700" w:hanging="360"/>
      </w:pPr>
    </w:lvl>
    <w:lvl w:ilvl="1" w:tplc="D1788D64">
      <w:numFmt w:val="decimal"/>
      <w:lvlText w:val=""/>
      <w:lvlJc w:val="left"/>
    </w:lvl>
    <w:lvl w:ilvl="2" w:tplc="D492843C">
      <w:numFmt w:val="decimal"/>
      <w:lvlText w:val=""/>
      <w:lvlJc w:val="left"/>
    </w:lvl>
    <w:lvl w:ilvl="3" w:tplc="825205D2">
      <w:numFmt w:val="decimal"/>
      <w:lvlText w:val=""/>
      <w:lvlJc w:val="left"/>
    </w:lvl>
    <w:lvl w:ilvl="4" w:tplc="9B00E84E">
      <w:numFmt w:val="decimal"/>
      <w:lvlText w:val=""/>
      <w:lvlJc w:val="left"/>
    </w:lvl>
    <w:lvl w:ilvl="5" w:tplc="A8509CC8">
      <w:numFmt w:val="decimal"/>
      <w:lvlText w:val=""/>
      <w:lvlJc w:val="left"/>
    </w:lvl>
    <w:lvl w:ilvl="6" w:tplc="323A644E">
      <w:numFmt w:val="decimal"/>
      <w:lvlText w:val=""/>
      <w:lvlJc w:val="left"/>
    </w:lvl>
    <w:lvl w:ilvl="7" w:tplc="7D7EE3B2">
      <w:numFmt w:val="decimal"/>
      <w:lvlText w:val=""/>
      <w:lvlJc w:val="left"/>
    </w:lvl>
    <w:lvl w:ilvl="8" w:tplc="BD4236EA">
      <w:numFmt w:val="decimal"/>
      <w:lvlText w:val=""/>
      <w:lvlJc w:val="left"/>
    </w:lvl>
  </w:abstractNum>
  <w:num w:numId="1" w16cid:durableId="1454866278">
    <w:abstractNumId w:val="1"/>
    <w:lvlOverride w:ilvl="0">
      <w:startOverride w:val="1"/>
    </w:lvlOverride>
  </w:num>
  <w:num w:numId="2" w16cid:durableId="1291202143">
    <w:abstractNumId w:val="0"/>
    <w:lvlOverride w:ilvl="0">
      <w:startOverride w:val="1"/>
    </w:lvlOverride>
  </w:num>
  <w:num w:numId="3" w16cid:durableId="770705550">
    <w:abstractNumId w:val="3"/>
    <w:lvlOverride w:ilvl="0">
      <w:startOverride w:val="1"/>
    </w:lvlOverride>
  </w:num>
  <w:num w:numId="4" w16cid:durableId="8107125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F18"/>
    <w:rsid w:val="0003612B"/>
    <w:rsid w:val="0069772D"/>
    <w:rsid w:val="00CA6F18"/>
    <w:rsid w:val="00DD049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B9924"/>
  <w15:docId w15:val="{AB1312EE-7B5B-42D3-8FDF-A09237B3E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241C"/>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9772D"/>
    <w:pPr>
      <w:tabs>
        <w:tab w:val="center" w:pos="4513"/>
        <w:tab w:val="right" w:pos="9026"/>
      </w:tabs>
    </w:pPr>
  </w:style>
  <w:style w:type="character" w:customStyle="1" w:styleId="HeaderChar">
    <w:name w:val="Header Char"/>
    <w:basedOn w:val="DefaultParagraphFont"/>
    <w:link w:val="Header"/>
    <w:uiPriority w:val="99"/>
    <w:rsid w:val="0069772D"/>
  </w:style>
  <w:style w:type="paragraph" w:styleId="Footer">
    <w:name w:val="footer"/>
    <w:basedOn w:val="Normal"/>
    <w:link w:val="FooterChar"/>
    <w:uiPriority w:val="99"/>
    <w:unhideWhenUsed/>
    <w:rsid w:val="0069772D"/>
    <w:pPr>
      <w:tabs>
        <w:tab w:val="center" w:pos="4513"/>
        <w:tab w:val="right" w:pos="9026"/>
      </w:tabs>
    </w:pPr>
  </w:style>
  <w:style w:type="character" w:customStyle="1" w:styleId="FooterChar">
    <w:name w:val="Footer Char"/>
    <w:basedOn w:val="DefaultParagraphFont"/>
    <w:link w:val="Footer"/>
    <w:uiPriority w:val="99"/>
    <w:rsid w:val="00697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861</Words>
  <Characters>4912</Characters>
  <Application>Microsoft Office Word</Application>
  <DocSecurity>0</DocSecurity>
  <Lines>40</Lines>
  <Paragraphs>11</Paragraphs>
  <ScaleCrop>false</ScaleCrop>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Russell Stroebel</cp:lastModifiedBy>
  <cp:revision>2</cp:revision>
  <dcterms:created xsi:type="dcterms:W3CDTF">2026-08-14T12:47:00Z</dcterms:created>
  <dcterms:modified xsi:type="dcterms:W3CDTF">2026-08-17T09:15:00Z</dcterms:modified>
</cp:coreProperties>
</file>