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numPr>
          <w:ilvl w:val="0"/>
          <w:numId w:val="1"/>
        </w:numPr>
        <w:spacing/>
        <w:rPr/>
      </w:pPr>
      <w:r>
        <w:rPr/>
        <w:t xml:space="preserve">Adventure Works Cycles:</w:t>
      </w:r>
      <w:r>
        <w:rPr/>
        <w:br/>
      </w:r>
      <w:r>
        <w:rPr/>
        <w:t xml:space="preserve">Adventure Works Cycles, the fictitious company on which the Adventure Works sample databases are based, is a large, multinational manufacturing company.</w:t>
      </w:r>
      <w:r>
        <w:rPr/>
        <w:br/>
      </w:r>
      <w:r>
        <w:rPr/>
        <w:t xml:space="preserve">The company manufactures and sells metal and composite bicycles to North American, European and Asian commercial markets.</w:t>
      </w:r>
      <w:r>
        <w:rPr/>
        <w:br/>
      </w:r>
    </w:p>
    <w:sectPr>
      <w:type w:val="nextPage"/>
      <w:pgSz w:w="11906" w:h="16838"/>
      <w:pgMar w:top="400" w:right="400" w:bottom="400" w:left="1000" w:header="720" w:footer="72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3754C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2026-06-15T12:31:35Z</dcterms:created>
  <dcterms:modified xsi:type="dcterms:W3CDTF">2026-06-15T12:31:35Z</dcterms:modified>
</cp:coreProperties>
</file>