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1.xml" ContentType="application/inkml+xml"/>
  <Override PartName="/word/header2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13742C4D">
      <w:pPr>
        <w:pStyle w:val="Heading1"/>
        <w:spacing/>
        <w:jc w:val="center"/>
        <w:rPr/>
      </w:pPr>
      <w:r>
        <w:rPr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2872867</wp:posOffset>
            </wp:positionH>
            <wp:positionV relativeFrom="paragraph">
              <wp:posOffset>-720217</wp:posOffset>
            </wp:positionV>
            <wp:extent cx="3332160" cy="819720"/>
            <wp:effectExtent xmlns:wp="http://schemas.openxmlformats.org/drawingml/2006/wordprocessingDrawing" l="76200" t="114300" r="97155" b="114300"/>
            <wp:wrapNone/>
            <wp:docPr id="1484899298" name="Ink 1"/>
            <wp:cNvGraphicFramePr/>
            <a:graphic xmlns:a="http://schemas.openxmlformats.org/drawingml/2006/main">
              <a:graphicData uri="http://schemas.microsoft.com/office/word/2010/wordprocessingInk">
                <w14:contentPart bwMode="auto" r:id="rId1">
                  <w14:nvContentPartPr>
                    <w14:cNvContentPartPr/>
                  </w14:nvContentPartPr>
                  <w14:xfrm>
                    <a:off x="0" y="0"/>
                    <a:ext cx="3332160" cy="819720"/>
                  </w14:xfrm>
                </w14:contentPart>
              </a:graphicData>
            </a:graphic>
          </wp:anchor>
        </w:drawing>
      </w:r>
      <w:r>
        <w:rPr>
          <w:rFonts w:ascii="Calibri" w:hAnsi="Calibri" w:eastAsia="Calibri" w:cs="Calibri"/>
          <w:sz w:val="36"/>
        </w:rPr>
        <w:t xml:space="preserve">Adventure Works Cycles</w:t>
      </w:r>
    </w:p>
    <w:p w14:paraId="6AD44C41">
      <w:pPr>
        <w:spacing/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AdventureWorks sample databases are based, is a large, multinational manufacturing company. The company manufactures and sells metal and composite bicycles to North American, European and Asian commercial markets. While its base operation </w:t>
      </w:r>
      <w:r>
        <w:rPr>
          <w:sz w:val="24"/>
        </w:rPr>
        <w:t xml:space="preserve">is located in</w:t>
      </w:r>
      <w:r>
        <w:rPr>
          <w:sz w:val="24"/>
        </w:rPr>
        <w:t xml:space="preserve"> Bothell with 290 employees, several regional sales teams are located throughout their market base.</w:t>
      </w:r>
    </w:p>
    <w:p w14:paraId="16BF9416">
      <w:pPr>
        <w:spacing/>
        <w:ind w:firstLine="720"/>
        <w:rPr>
          <w:sz w:val="24"/>
        </w:rPr>
      </w:pPr>
      <w:r>
        <w:rPr>
          <w:sz w:val="24"/>
        </w:rPr>
        <w:t xml:space="preserve">In 2000, Adventure Works Cycles bought a small manufacturing plant, </w:t>
      </w:r>
      <w:r>
        <w:rPr>
          <w:sz w:val="24"/>
        </w:rPr>
        <w:t xml:space="preserve">Importadores</w:t>
      </w:r>
      <w:r>
        <w:rPr>
          <w:sz w:val="24"/>
        </w:rPr>
        <w:t xml:space="preserve"> Neptuno, located in Mexico. </w:t>
      </w:r>
      <w:r>
        <w:rPr>
          <w:sz w:val="24"/>
        </w:rPr>
        <w:t xml:space="preserve">Importadores</w:t>
      </w:r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r>
        <w:rPr>
          <w:sz w:val="24"/>
        </w:rPr>
        <w:t xml:space="preserve">Importadores</w:t>
      </w:r>
      <w:r>
        <w:rPr>
          <w:sz w:val="24"/>
        </w:rPr>
        <w:t xml:space="preserve"> </w:t>
      </w:r>
      <w:r>
        <w:rPr>
          <w:sz w:val="24"/>
        </w:rPr>
        <w:t xml:space="preserve">Neptuno,</w:t>
      </w:r>
      <w:r>
        <w:rPr>
          <w:sz w:val="24"/>
        </w:rPr>
        <w:t xml:space="preserve"> became the sole manufacturer and distributor of the touring bicycle product group.</w:t>
      </w:r>
    </w:p>
    <w:sectPr>
      <w:headerReference w:type="default" r:id="rId2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libri">
    <w:charset w:val="0"/>
    <w:family w:val="swiss"/>
    <w:pitch w:val="variable"/>
    <w:sig w:usb0="E4002EFF" w:usb1="C200247B" w:usb2="00000009" w:usb3="00000000" w:csb0="000001FF" w:csb1="00000000"/>
    <w:embedRegular r:id="rId1" w:fontKey="{E8D014E9-7FAD-4714-B43B-126644FAE89D}"/>
  </w:font>
  <w:font w:name="Calibri Light">
    <w:charset w:val="0"/>
    <w:family w:val="swiss"/>
    <w:pitch w:val="variable"/>
    <w:sig w:usb0="E4002EFF" w:usb1="C200247B" w:usb2="00000009" w:usb3="00000000" w:csb0="000001FF" w:csb1="00000000"/>
    <w:embedRegular r:id="rId2" w:fontKey="{E8C34CA4-C5EF-4166-A20E-32CC8DA6E83C}"/>
  </w:font>
  <w:font w:name="Angsana New">
    <w:charset w:val="222"/>
    <w:family w:val="roman"/>
    <w:pitch w:val="variable"/>
    <w:sig w:usb0="81000003" w:usb1="00000000" w:usb2="00000000" w:usb3="00000000" w:csb0="00010001" w:csb1="00000000"/>
    <w:embedRegular r:id="rId3" w:fontKey="{46F6F71F-DE4C-4FF4-B5F8-5C06BE6E855E}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7DE99EAD">
    <w:pPr>
      <w:spacing/>
      <w:rPr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xmlns:wp="http://schemas.openxmlformats.org/drawingml/2006/wordprocessingDrawing" l="0" t="0" r="0" b="0"/>
          <wp:wrapNone/>
          <wp:docPr id="1484899299" name="Picture 1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 xml:space="preserve"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70"/>
  <w:embedTrueTypeFonts xmlns:w="http://schemas.openxmlformats.org/wordprocessingml/2006/main"/>
  <w:proofState w:spelling="clean" w:grammar="clean"/>
  <w:defaultTabStop w:val="720"/>
  <w:characterSpacingControl w:val="doNotCompress"/>
  <w:savePreviewPicture xmlns:w="http://schemas.openxmlformats.org/wordprocessingml/2006/mai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th-TH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th-TH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E74B5"/>
      <w:sz w:val="32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customXml" Target="ink/ink1.xml" /><Relationship Id="rId7" Type="http://schemas.openxmlformats.org/officeDocument/2006/relationships/fontTable" Target="fontTable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header2.xml.rels>&#65279;<?xml version="1.0" encoding="utf-8" standalone="yes"?><Relationships xmlns="http://schemas.openxmlformats.org/package/2006/relationships"><Relationship Id="rId3" Type="http://schemas.openxmlformats.org/officeDocument/2006/relationships/image" Target="media/image2.jpeg" /></Relationships>
</file>

<file path=word/ink/ink1.xml><?xml version="1.0" encoding="utf-8"?>
<inkml:ink xmlns:inkml="http://www.w3.org/2003/InkML">
  <inkml:definitions>
    <inkml:context xmlns:inkml="http://www.w3.org/2003/InkML"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3T07:59:32.322"/>
    </inkml:context>
    <inkml:brush xml:id="br0">
      <inkml:brushProperty name="width" value="0.035" units="cm"/>
      <inkml:brushProperty name="height" value="0.035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6746 96,'-195'-36,"-380"-19,-205 51,409 7,-2688-3,2595 20,379-10,1 4,0 3,-114 40,134-34,1 2,1 3,-69 42,85-41,-22 13,-107 87,156-113,1 2,1 0,0 1,2 0,0 1,1 1,1 0,1 1,-17 41,13-17,2 0,2 1,1 1,3-1,2 2,2-1,2 0,8 86,-3-118,1 0,1 0,0 0,1-1,0 0,1 0,1-1,0 0,1 0,19 21,7 4,1-2,44 34,-10-16,2-3,2-3,3-3,1-4,105 40,433 117,-349-138,2-11,461 26,554-62,-849-18,2057 3,-1332 2,-1055-1,1-4,-1-5,0-5,130-33,-210 39,-1-2,0 0,0-1,-1-2,0 0,-1-2,36-30,-19 10,-3-1,64-82,-84 96,-2-1,0-1,-2 0,0-1,-2 0,-1-1,-1 0,7-40,-1-22,2-111,-14 147,5-434,-9 465,-1 0,-1 0,-1 0,0 1,-2 0,0 0,-2 1,0 0,-1 0,-16-22,-6-4,-2 3,-70-68,78 88,-1 0,-1 1,-1 2,-1 1,0 2,-1 0,-1 2,0 2,-49-13,-36-2,-162-17,253 40,-634-40,542 40,-1008-12,1050 22,1 4,-104 27,110-21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1</Pages>
  <Words>127</Words>
  <Characters>726</Characters>
  <Application>Microsoft Office Word</Application>
  <DocSecurity>0</DocSecurity>
  <Lines>6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Sathish Kumar Chenniappan</cp:lastModifiedBy>
  <cp:revision>11</cp:revision>
  <dcterms:created xsi:type="dcterms:W3CDTF">2026-02-19T06:41:00Z</dcterms:created>
  <dcterms:modified xsi:type="dcterms:W3CDTF">2026-03-03T08:16:00Z</dcterms:modified>
</cp:coreProperties>
</file>