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1.xml" ContentType="application/inkml+xml"/>
  <Override PartName="/word/ink/ink2.xml" ContentType="application/inkml+xml"/>
  <Override PartName="/word/header3.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13742C4D">
      <w:pPr>
        <w:pStyle w:val="Heading1"/>
        <w:spacing/>
        <w:jc w:val="center"/>
        <w:rPr/>
      </w:pPr>
      <w:r>
        <w:rPr/>
        <w:drawing>
          <wp:anchor distT="0" distB="0" distL="114300" distR="114300" simplePos="0" relativeHeight="251672576" behindDoc="0" locked="0" layoutInCell="1" allowOverlap="1">
            <wp:simplePos x="0" y="0"/>
            <wp:positionH relativeFrom="column">
              <wp:posOffset>-276098</wp:posOffset>
            </wp:positionH>
            <wp:positionV relativeFrom="paragraph">
              <wp:posOffset>-35179</wp:posOffset>
            </wp:positionV>
            <wp:extent cx="453600" cy="430200"/>
            <wp:effectExtent xmlns:wp="http://schemas.openxmlformats.org/drawingml/2006/wordprocessingDrawing" l="76200" t="57150" r="60960" b="65405"/>
            <wp:wrapNone/>
            <wp:docPr id="1794437718" name="Ink 53"/>
            <wp:cNvGraphicFramePr/>
            <a:graphic xmlns:a="http://schemas.openxmlformats.org/drawingml/2006/main">
              <a:graphicData uri="http://schemas.microsoft.com/office/word/2010/wordprocessingInk">
                <w14:contentPart bwMode="auto" r:id="rId1">
                  <w14:nvContentPartPr>
                    <w14:cNvContentPartPr/>
                  </w14:nvContentPartPr>
                  <w14:xfrm>
                    <a:off x="0" y="0"/>
                    <a:ext cx="453600" cy="430200"/>
                  </w14:xfrm>
                </w14:contentPart>
              </a:graphicData>
            </a:graphic>
          </wp:anchor>
        </w:drawing>
      </w:r>
      <w:r>
        <w:rPr/>
        <w:drawing>
          <wp:anchor distT="0" distB="0" distL="114300" distR="114300" simplePos="0" relativeHeight="251671552" behindDoc="0" locked="0" layoutInCell="1" allowOverlap="1">
            <wp:simplePos x="0" y="0"/>
            <wp:positionH relativeFrom="column">
              <wp:posOffset>-609854</wp:posOffset>
            </wp:positionH>
            <wp:positionV relativeFrom="paragraph">
              <wp:posOffset>-57912</wp:posOffset>
            </wp:positionV>
            <wp:extent cx="724320" cy="686880"/>
            <wp:effectExtent xmlns:wp="http://schemas.openxmlformats.org/drawingml/2006/wordprocessingDrawing" l="57150" t="57150" r="76200" b="75565"/>
            <wp:wrapNone/>
            <wp:docPr id="1046217724" name="Ink 50"/>
            <wp:cNvGraphicFramePr/>
            <a:graphic xmlns:a="http://schemas.openxmlformats.org/drawingml/2006/main">
              <a:graphicData uri="http://schemas.microsoft.com/office/word/2010/wordprocessingInk">
                <w14:contentPart bwMode="auto" r:id="rId2">
                  <w14:nvContentPartPr>
                    <w14:cNvContentPartPr/>
                  </w14:nvContentPartPr>
                  <w14:xfrm>
                    <a:off x="0" y="0"/>
                    <a:ext cx="724320" cy="686880"/>
                  </w14:xfrm>
                </w14:contentPart>
              </a:graphicData>
            </a:graphic>
          </wp:anchor>
        </w:drawing>
      </w:r>
      <w:r>
        <w:rPr>
          <w:rFonts w:ascii="Calibri" w:hAnsi="Calibri" w:eastAsia="Calibri" w:cs="Calibri"/>
          <w:sz w:val="36"/>
        </w:rPr>
        <w:t xml:space="preserve">Adventure Works Cycles</w:t>
      </w:r>
    </w:p>
    <w:p w14:paraId="6AD44C41">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w:t>
      </w:r>
      <w:r>
        <w:rPr>
          <w:sz w:val="24"/>
        </w:rPr>
        <w:t xml:space="preserve">is located in</w:t>
      </w:r>
      <w:r>
        <w:rPr>
          <w:sz w:val="24"/>
        </w:rPr>
        <w:t xml:space="preserve"> Bothell with 290 employees, several regional sales teams are located throughout their market base.</w:t>
      </w:r>
    </w:p>
    <w:p w14:paraId="16BF9416">
      <w:pPr>
        <w:spacing/>
        <w:ind w:firstLine="720"/>
        <w:rPr>
          <w:sz w:val="24"/>
        </w:rPr>
      </w:pPr>
      <w:r>
        <w:rPr>
          <w:sz w:val="24"/>
        </w:rPr>
        <w:t xml:space="preserve">In 2000, Adventure Works Cycles bought a small manufacturing plant, </w:t>
      </w:r>
      <w:r>
        <w:rPr>
          <w:sz w:val="24"/>
        </w:rPr>
        <w:t xml:space="preserve">Importadores</w:t>
      </w:r>
      <w:r>
        <w:rPr>
          <w:sz w:val="24"/>
        </w:rPr>
        <w:t xml:space="preserve"> Neptuno, located in Mexico. </w:t>
      </w:r>
      <w:r>
        <w:rPr>
          <w:sz w:val="24"/>
        </w:rPr>
        <w:t xml:space="preserve">Importadores</w:t>
      </w:r>
      <w:r>
        <w:rPr>
          <w:sz w:val="24"/>
        </w:rPr>
        <w:t xml:space="preserve"> Neptuno manufactures several critical subcomponents for the Adventure Works Cycles product line. These subcomponents are shipped to the Bothell location for final product assembly. In 2001, </w:t>
      </w:r>
      <w:r>
        <w:rPr>
          <w:sz w:val="24"/>
        </w:rPr>
        <w:t xml:space="preserve">Importadores</w:t>
      </w:r>
      <w:r>
        <w:rPr>
          <w:sz w:val="24"/>
        </w:rPr>
        <w:t xml:space="preserve"> </w:t>
      </w:r>
      <w:r>
        <w:rPr>
          <w:sz w:val="24"/>
        </w:rPr>
        <w:t xml:space="preserve">Neptuno,</w:t>
      </w:r>
      <w:r>
        <w:rPr>
          <w:sz w:val="24"/>
        </w:rPr>
        <w:t xml:space="preserve"> became the sole manufacturer and distributor of the touring bicycle product group.</w:t>
      </w:r>
    </w:p>
    <w:sectPr>
      <w:headerReference w:type="default" r:id="rId3"/>
      <w:type w:val="nextPage"/>
      <w:pgSz w:w="1224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200247B" w:usb2="00000009" w:usb3="00000000" w:csb0="000001FF" w:csb1="00000000"/>
    <w:embedRegular r:id="rId1" w:fontKey="{53E6D054-4B69-42F9-8CF7-2D5EA265CCD0}"/>
  </w:font>
  <w:font w:name="Calibri Light">
    <w:charset w:val="0"/>
    <w:family w:val="swiss"/>
    <w:pitch w:val="variable"/>
    <w:sig w:usb0="E4002EFF" w:usb1="C200247B" w:usb2="00000009" w:usb3="00000000" w:csb0="000001FF" w:csb1="00000000"/>
    <w:embedRegular r:id="rId2" w:fontKey="{6A2B4CE3-ED12-4C0B-8AAE-62DBED8E20F2}"/>
  </w:font>
  <w:font w:name="Angsana New">
    <w:charset w:val="222"/>
    <w:family w:val="roman"/>
    <w:pitch w:val="variable"/>
    <w:sig w:usb0="81000003" w:usb1="00000000" w:usb2="00000000" w:usb3="00000000" w:csb0="00010001" w:csb1="00000000"/>
    <w:embedRegular r:id="rId3" w:fontKey="{899D3596-2EE2-4BAF-AD3F-BE38A827901C}"/>
  </w:font>
</w:fonts>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DE99EAD">
    <w:pPr>
      <w:spacing/>
      <w:rPr/>
    </w:pPr>
    <w:r>
      <w:rPr>
        <w:noProof/>
      </w:rPr>
      <w:drawing>
        <wp:anchor distT="0" distB="0" distL="114300" distR="114300" simplePos="0" relativeHeight="251658240"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1794437719" name="Picture 1"/>
          <a:graphic>
            <a:graphicData uri="http://schemas.openxmlformats.org/drawingml/2006/picture">
              <pic:pic>
                <pic:nvPicPr>
                  <pic:cNvPr id="0" name="" descr=""/>
                  <pic:cNvPicPr>
                    <a:picLocks noChangeAspect="1" noChangeArrowheads="1"/>
                  </pic:cNvPicPr>
                </pic:nvPicPr>
                <pic:blipFill>
                  <a:blip r:embed="rId4"/>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70"/>
  <w:embedTrueTypeFonts xmlns:w="http://schemas.openxmlformats.org/wordprocessingml/2006/main"/>
  <w:proofState w:spelling="clean" w:grammar="clean"/>
  <w:defaultTabStop w:val="720"/>
  <w:characterSpacingControl w:val="doNotCompress"/>
  <w:savePreviewPicture xmlns:w="http://schemas.openxmlformats.org/wordprocessingml/2006/mai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th-TH"/>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th-TH"/>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 standalone="yes"?><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theme" Target="theme/theme1.xml" /><Relationship Id="rId3" Type="http://schemas.openxmlformats.org/officeDocument/2006/relationships/header" Target="header3.xml" /><Relationship Id="rId1" Type="http://schemas.openxmlformats.org/officeDocument/2006/relationships/customXml" Target="ink/ink1.xml" /><Relationship Id="rId2" Type="http://schemas.openxmlformats.org/officeDocument/2006/relationships/customXml" Target="ink/ink2.xml" /><Relationship Id="rId8" Type="http://schemas.openxmlformats.org/officeDocument/2006/relationships/fontTable" Target="fontTable.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header3.xml.rels>&#65279;<?xml version="1.0" encoding="utf-8" standalone="yes"?><Relationships xmlns="http://schemas.openxmlformats.org/package/2006/relationships"><Relationship Id="rId4" Type="http://schemas.openxmlformats.org/officeDocument/2006/relationships/image" Target="media/image3.jpe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inkSource>
    </inkml:context>
    <inkml:brush xml:id="br0">
      <inkml:brushProperty name="width" value="0.1" units="cm"/>
      <inkml:brushProperty name="height" value="0.1" units="cm"/>
      <inkml:brushProperty name="color" value="#000000"/>
    </inkml:brush>
  </inkml:definitions>
  <inkml:trace contextRef="#ctx0" brushRef="#br0">0 5.021308,1.5886624 5.021308,4.3120837 5.049677,11.177374 4.5674043,14.184485 4.3404527,14.978816 4.3120837,15.773148 4.2553453,16.567478 4.1702385,17.33344 4.0567627,18.978842 3.687966,20.62424 3.1205866,24.141994 2.0425658,24.681004 1.872352,25.220015 1.7021382,26.666832 1.0780209,27.120735 0.8510691,27.574638 0.6524863,28.028543 0.4822725,28.482447 0.3120587,29.560467 0.05673794,29.617205 0.02836897,29.702312 0.02836897,29.75905 0.02836897,29.844156 0.02836897,29.900894 0.02836897,29.957632 0.02836897,30.04274 0.02836897,30.099478 0.02836897,30.156216 0.05673794,30.241322 0.05673794,30.29806 0.08510691,30.354797 0.11347588,30.411537 0.11347588,30.496643 0.14184485,30.553381 0.17021382,30.610119 0.22695176,30.666857 0.25532073,30.723595 0.2836897,30.780333 0.3120587,30.83707 0.36879662,30.893808 0.3971656,30.922178 0.45390353,30.978916 0.51064146,31.035654 0.5673794,31.064022 0.59574836,31.092392 0.6524863,31.14913 0.7092243,31.177498 0.7659622,31.205868 0.82270014,31.234236 0.8794381,31.262606 0.964545,31.290974 1.0212829,31.347712 1.1631278,31.461187 1.5602933,31.574663 1.957459,31.659771 2.3546245,31.744879 2.75179,31.829985 3.687966,31.915092 4.5106664,32.142044 5.6170564,32.79453 8.028419,33.6456 11.262482,33.759075 12.255395,33.81581 13.21994,33.81581 15.858254,33.759075 16.766062,33.759075 17.673868,33.787445 18.581676,34.071133 20.851192,35.03568 26.865416,35.149155 27.716484,35.20589 28.595922,35.26263 30.496643,35.319366 32.8229,35.319366 32.908005,35.347736 32.99311,35.347736 33.07822,35.376106 33.134956,35.376106 33.220066,35.404476 33.305172,35.432842 33.390278,35.461212 33.447018,35.489582 33.532124,35.517952 33.61723,35.574688 33.67397,35.603058 33.759075,0 5.021308</inkml:trace>
</inkml:ink>
</file>

<file path=word/ink/ink2.xml><?xml version="1.0" encoding="utf-8"?>
<inkml:ink xmlns:inkml="http://www.w3.org/2003/InkML">
  <inkml:definitions>
    <inkml:context xmlns:inkml="http://www.w3.org/2003/InkML"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2:44:59.406"/>
    </inkml:context>
    <inkml:brush xml:id="br0">
      <inkml:brushProperty name="width" value="0.1" units="cm"/>
      <inkml:brushProperty name="height" value="0.1" units="cm"/>
      <inkml:brushProperty name="color" value="#000000"/>
    </inkml:brush>
  </inkml:definitions>
  <inkml:trace contextRef="#ctx0" brushRef="#br0">1 1907 24575,'14'0'0,"0"-1"0,0 0 0,0-2 0,0 1 0,0-2 0,-1 0 0,1 0 0,-1-1 0,0-1 0,-1 0 0,1-1 0,13-10 0,37-27 0,-1-3 0,-3-2 0,97-105 0,33-61 0,-115 128 0,-38 51 0,78-65 0,7-5 0,133-144 0,-142 152 0,-14 14 0,-53 43 0,-3 4 0,-2-2 0,64-81 0,123-181 0,-200 264-1365</inkml:trace>
</inkml:ink>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73</TotalTime>
  <Pages>1</Pages>
  <Words>127</Words>
  <Characters>727</Characters>
  <Application>Microsoft Office Word</Application>
  <DocSecurity>0</DocSecurity>
  <Lines>6</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Sathish Kumar Chenniappan</cp:lastModifiedBy>
  <cp:revision>11</cp:revision>
  <dcterms:created xsi:type="dcterms:W3CDTF">2026-02-19T06:41:00Z</dcterms:created>
  <dcterms:modified xsi:type="dcterms:W3CDTF">2026-03-03T08:25:00Z</dcterms:modified>
</cp:coreProperties>
</file>