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pStyle w:val="Heading1"/>
        <w:spacing w:after="600"/>
        <w:rPr/>
      </w:pPr>
      <w:r>
        <w:rPr/>
        <w:t xml:space="preserve">Adventure Works Cycle</w:t>
      </w:r>
      <w:r>
        <w:rPr/>
        <w:t xml:space="preserve">Demo selection container</w:t>
      </w:r>
      <w:r>
        <w:rPr/>
        <w:t xml:space="preserve">s</w:t>
      </w:r>
      <w:r>
        <w:rPr/>
        <w:t xml:space="preserve"> s</w:t>
      </w:r>
    </w:p>
    <w:p>
      <w:pPr>
        <w:spacing/>
        <w:ind w:firstLine="720"/>
        <w:rPr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trike w:val="0"/>
          <w:color w:val="000000"/>
          <w:sz w:val="22"/>
          <w:szCs w:val="22"/>
          <w:u w:val="none"/>
          <w:vertAlign w:val="baseline"/>
          <w:rtl w:val="0"/>
          <w:cs w:val="0"/>
          <w:lang/>
        </w:rPr>
        <w:t xml:space="preserve">mugunthan A</w:t>
      </w:r>
      <w:r>
        <w:rPr/>
        <w:t xml:space="preserve">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spacing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1"/>
        <w:spacing/>
        <w:rPr/>
      </w:pPr>
      <w:r>
        <w:rPr/>
        <w:t xml:space="preserve">Product Overview</w:t>
      </w:r>
    </w:p>
    <w:tbl>
      <w:tblPr>
        <w:bidiVisual w:val="0"/>
        <w:tblW w:w="0" w:type="auto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20" w:hRule="atLeast"/>
        </w:trPr>
        <w:tc>
          <w:tcPr>
            <w:tcW w:type="dxa" w:w="4680"/>
            <w:tcBorders/>
            <w:shd w:fill="FFFFFF" w:color="auto" w:val="clear"/>
            <w:tcMar>
              <w:top w:w="4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/>
              <w:jc w:val="center"/>
              <w:rPr>
                <w:sz w:val="22"/>
              </w:rPr>
            </w:pPr>
            <w:r>
              <w:rPr/>
              <w:drawing>
                <wp:inline>
                  <wp:extent cx="1803400" cy="1123950"/>
                  <wp:docPr id="1" name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FFFFFF" w:color="auto" w:val="clear"/>
            <w:tcMar>
              <w:top w:w="4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2"/>
              <w:spacing/>
              <w:jc w:val="center"/>
              <w:rPr/>
            </w:pPr>
            <w:r>
              <w:rPr/>
              <w:t xml:space="preserve">Mountai</w:t>
            </w:r>
            <w:bookmarkStart w:id="2" w:name="_GoBack"/>
            <w:bookmarkEnd w:id="2"/>
            <w:r>
              <w:rPr/>
              <w:t xml:space="preserve">n-200</w:t>
            </w:r>
          </w:p>
          <w:p>
            <w:pPr>
              <w:spacing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spacing/>
              <w:jc w:val="center"/>
              <w:rPr/>
            </w:pPr>
            <w:r>
              <w:rPr/>
              <w:t xml:space="preserve">Size: 38</w:t>
            </w:r>
          </w:p>
          <w:p>
            <w:pPr>
              <w:spacing/>
              <w:jc w:val="center"/>
              <w:rPr/>
            </w:pPr>
            <w:r>
              <w:rPr/>
              <w:t xml:space="preserve">Weight: 25</w:t>
            </w:r>
          </w:p>
          <w:p>
            <w:pPr>
              <w:spacing/>
              <w:jc w:val="center"/>
              <w:rPr/>
            </w:pPr>
            <w:r>
              <w:rPr/>
              <w:t xml:space="preserve">Price: $2,294.99</w:t>
            </w:r>
          </w:p>
          <w:p>
            <w:pPr>
              <w:spacing/>
              <w:jc w:val="center"/>
              <w:rPr/>
            </w:pPr>
          </w:p>
        </w:tc>
      </w:tr>
      <w:tr>
        <w:trPr>
          <w:trHeight w:val="20" w:hRule="atLeast"/>
        </w:trPr>
        <w:tc>
          <w:tcPr>
            <w:tcW w:type="dxa" w:w="4680"/>
            <w:tcBorders/>
            <w:shd w:fill="FFFFFF" w:color="auto" w:val="clear"/>
            <w:tcMar>
              <w:top w:w="4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2"/>
              <w:spacing/>
              <w:jc w:val="center"/>
              <w:rPr/>
            </w:pPr>
            <w:r>
              <w:rPr/>
              <w:t xml:space="preserve">Mountain-300</w:t>
            </w:r>
          </w:p>
          <w:p>
            <w:pPr>
              <w:spacing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spacing/>
              <w:jc w:val="center"/>
              <w:rPr/>
            </w:pPr>
            <w:r>
              <w:rPr/>
              <w:t xml:space="preserve">Size: 35</w:t>
            </w:r>
          </w:p>
          <w:p>
            <w:pPr>
              <w:spacing/>
              <w:jc w:val="center"/>
              <w:rPr/>
            </w:pPr>
            <w:r>
              <w:rPr/>
              <w:t xml:space="preserve">Weight: 22</w:t>
            </w:r>
          </w:p>
          <w:p>
            <w:pPr>
              <w:spacing/>
              <w:jc w:val="center"/>
              <w:rPr/>
            </w:pPr>
            <w:r>
              <w:rPr/>
              <w:t xml:space="preserve">Price: $1,079.99</w:t>
            </w:r>
          </w:p>
          <w:p>
            <w:pPr>
              <w:spacing/>
              <w:jc w:val="center"/>
              <w:rPr/>
            </w:pPr>
          </w:p>
        </w:tc>
        <w:tc>
          <w:tcPr>
            <w:tcW w:type="dxa" w:w="4680"/>
            <w:tcBorders/>
            <w:shd w:fill="FFFFFF" w:color="auto" w:val="clear"/>
            <w:tcMar>
              <w:top w:w="4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/>
              <w:jc w:val="center"/>
              <w:rPr/>
            </w:pPr>
            <w:r>
              <w:rPr/>
              <w:drawing>
                <wp:inline>
                  <wp:extent cx="1714500" cy="1066800"/>
                  <wp:docPr id="2" name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" w:hRule="atLeast"/>
        </w:trPr>
        <w:tc>
          <w:tcPr>
            <w:tcW w:type="dxa" w:w="4680"/>
            <w:tcBorders/>
            <w:shd w:fill="FFFFFF" w:color="auto" w:val="clear"/>
            <w:tcMar>
              <w:top w:w="4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/>
              <w:jc w:val="center"/>
              <w:rPr/>
            </w:pPr>
            <w:r>
              <w:rPr/>
              <w:drawing>
                <wp:inline>
                  <wp:extent cx="2101850" cy="1308100"/>
                  <wp:docPr id="3" name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FFFFFF" w:color="auto" w:val="clear"/>
            <w:tcMar>
              <w:top w:w="4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2"/>
              <w:spacing/>
              <w:jc w:val="center"/>
              <w:rPr>
                <w:sz w:val="26"/>
              </w:rPr>
            </w:pPr>
            <w:r>
              <w:rPr/>
              <w:t xml:space="preserve">Road-150</w:t>
            </w:r>
          </w:p>
          <w:p>
            <w:pPr>
              <w:spacing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spacing/>
              <w:jc w:val="center"/>
              <w:rPr/>
            </w:pPr>
            <w:r>
              <w:rPr/>
              <w:t xml:space="preserve">Size: 44</w:t>
            </w:r>
          </w:p>
          <w:p>
            <w:pPr>
              <w:spacing/>
              <w:jc w:val="center"/>
              <w:rPr/>
            </w:pPr>
            <w:r>
              <w:rPr/>
              <w:t xml:space="preserve">Weight: 14</w:t>
            </w:r>
          </w:p>
          <w:p>
            <w:pPr>
              <w:spacing/>
              <w:jc w:val="center"/>
              <w:rPr/>
            </w:pPr>
            <w:r>
              <w:rPr/>
              <w:t xml:space="preserve">Price: $3,578.27</w:t>
            </w:r>
          </w:p>
          <w:p>
            <w:pPr>
              <w:spacing/>
              <w:jc w:val="center"/>
              <w:rPr/>
            </w:pPr>
          </w:p>
        </w:tc>
      </w:tr>
    </w:tbl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4"/>
      <w:headerReference w:type="even" r:id="rId5"/>
      <w:headerReference w:type="default" r:id="rId6"/>
      <w:footerReference w:type="default" r:id="rId7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color w:val="000000"/>
        <w:sz w:val="22"/>
        <w:szCs w:val="22"/>
        <w:vertAlign w:val="baseline"/>
      </w:rPr>
    </w:rPrDefault>
    <w:pPrDefault>
      <w:pPr>
        <w:spacing w:before="0" w:after="0" w:line="259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 w:line="276" w:lineRule="auto"/>
    </w:pPr>
    <w:rPr>
      <w:rFonts w:ascii="Calibri" w:hAnsi="Calibri" w:eastAsia="Calibri"/>
    </w:rPr>
  </w:style>
  <w:style w:type="character" w:styleId="DefaultParagraphFont" w:default="1">
    <w:name w:val="Default Paragraph Font"/>
    <w:rPr/>
  </w:style>
  <w:style w:type="character" w:styleId="Heading1Char" w:customStyle="1">
    <w:name w:val="Heading 1 Char"/>
    <w:basedOn w:val="DefaultParagraphFont"/>
    <w:rPr>
      <w:rFonts w:ascii="Calibri Light" w:hAnsi="Calibri Light" w:eastAsia="Calibri Light"/>
      <w:color w:val="2F5496"/>
      <w:sz w:val="32"/>
    </w:rPr>
  </w:style>
  <w:style w:type="paragraph" w:styleId="Heading1">
    <w:name w:val="Heading 1"/>
    <w:basedOn w:val="Normal"/>
    <w:next w:val="Normal"/>
    <w:link w:val="Heading1Char"/>
    <w:pPr>
      <w:spacing w:before="240" w:after="0"/>
      <w:outlineLvl w:val="0"/>
    </w:pPr>
    <w:rPr>
      <w:rFonts w:ascii="Calibri Light" w:hAnsi="Calibri Light" w:eastAsia="Calibri Light"/>
      <w:color w:val="2F5496"/>
      <w:sz w:val="32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/>
      <w:color w:val="2F5496"/>
      <w:sz w:val="26"/>
    </w:rPr>
  </w:style>
  <w:style w:type="paragraph" w:styleId="Heading2">
    <w:name w:val="Heading 2"/>
    <w:basedOn w:val="Normal"/>
    <w:next w:val="Normal"/>
    <w:link w:val="Heading2Char"/>
    <w:pPr>
      <w:spacing w:before="40" w:after="120"/>
      <w:outlineLvl w:val="1"/>
    </w:pPr>
    <w:rPr>
      <w:rFonts w:ascii="Calibri Light" w:hAnsi="Calibri Light" w:eastAsia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color w:val="2F5496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/>
      <w:i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/>
      <w:color w:val="1F3763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theme" Target="theme/theme1.xml" /><Relationship Id="rId5" Type="http://schemas.openxmlformats.org/officeDocument/2006/relationships/header" Target="header5.xml" /><Relationship Id="rId4" Type="http://schemas.openxmlformats.org/officeDocument/2006/relationships/header" Target="header4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" Type="http://schemas.openxmlformats.org/officeDocument/2006/relationships/image" Target="media/image1.gif" /><Relationship Id="rId2" Type="http://schemas.openxmlformats.org/officeDocument/2006/relationships/image" Target="media/image2.gif" /><Relationship Id="rId3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2024-07-29T10:41:45Z</dcterms:created>
  <dcterms:modified xsi:type="dcterms:W3CDTF">2024-07-29T10:41:45Z</dcterms:modified>
</cp:coreProperties>
</file>