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 w:line="240" w:lineRule="auto"/>
        <w:ind/>
        <w:rPr/>
      </w:pPr>
      <w:r>
        <w:rPr/>
        <w:t xml:space="preserve">Adventure </w:t>
      </w:r>
      <w:r>
        <w:rPr/>
        <w:t xml:space="preserve">Works Cycles</w:t>
      </w:r>
    </w:p>
    <w:p>
      <w:pPr>
        <w:pStyle w:val="Normal"/>
        <w:spacing w:line="240" w:lineRule="auto"/>
        <w:ind w:firstLine="720"/>
        <w:rPr/>
      </w:pPr>
      <w:r>
        <w:rPr>
          <w:highlight w:val="yellow"/>
        </w:rPr>
        <w:t xml:space="preserve">Adventure Works Cycles, the fictitious company on which the </w:t>
      </w:r>
      <w:r>
        <w:rPr>
          <w:highlight w:val="yellow"/>
        </w:rPr>
        <w:t xml:space="preserve">AdventureWorks</w:t>
      </w:r>
      <w:r>
        <w:rPr>
          <w:highlight w:val="yellow"/>
        </w:rPr>
        <w:t xml:space="preserve"> sample databases </w:t>
      </w:r>
      <w:r>
        <w:rPr>
          <w:highlight w:val="yellow"/>
        </w:rPr>
        <w:t xml:space="preserve">are based, is a large, multinational manufacturing company.</w:t>
      </w:r>
      <w:r>
        <w:rPr/>
        <w:t xml:space="preserve">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  <w:rPr/>
      </w:pPr>
      <w:r>
        <w:rPr/>
        <w:t xml:space="preserve">Product Overview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  <w:gridCol w:w="4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 distT="0" distB="0" distL="0" distR="0">
                  <wp:extent cx="1803400" cy="1123950"/>
                  <wp:docPr id="1" name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 distT="0" distB="0" distL="0" distR="0">
                  <wp:extent cx="1714500" cy="1066800"/>
                  <wp:docPr id="2" name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 distT="0" distB="0" distL="0" distR="0">
                  <wp:extent cx="2101850" cy="1308100"/>
                  <wp:docPr id="3" name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</w:tbl>
    <w:p>
      <w:pPr>
        <w:pStyle w:val="Normal"/>
        <w:spacing w:line="240" w:lineRule="auto"/>
        <w:ind/>
        <w:rPr/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Style w:val="Normal"/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Style w:val="Normal"/>
        <w:spacing/>
        <w:ind/>
        <w:rPr/>
      </w:pPr>
      <w:r>
        <w:rPr/>
        <w:continuationSeparator/>
      </w:r>
    </w:p>
  </w:footnote>
  <w:endnote w:type="continuationNotice" w:id="1">
    <w:p>
      <w:pPr>
        <w:pStyle w:val="Normal"/>
        <w:spacing/>
        <w:ind/>
        <w:rPr/>
      </w:pPr>
    </w:p>
  </w:end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Calibri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