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NORTHSTAR BUSINESS SERVICES PVT. LTD.</w:t>
      </w:r>
    </w:p>
    <w:p>
      <w:pPr>
        <w:jc w:val="center"/>
      </w:pPr>
      <w:r>
        <w:rPr>
          <w:b/>
          <w:color w:val="244A73"/>
          <w:sz w:val="26"/>
        </w:rPr>
        <w:t>Company Policies and Procedures Handbook</w:t>
      </w:r>
    </w:p>
    <w:tbl>
      <w:tblPr>
        <w:tblW w:type="auto" w:w="0"/>
        <w:jc w:val="center"/>
        <w:tblLayout w:type="fixed"/>
        <w:tblLook w:firstColumn="1" w:firstRow="1" w:lastColumn="0" w:lastRow="0" w:noHBand="0" w:noVBand="1" w:val="04A0"/>
      </w:tblPr>
      <w:tblGrid>
        <w:gridCol w:w="2531"/>
        <w:gridCol w:w="2531"/>
        <w:gridCol w:w="2531"/>
        <w:gridCol w:w="2531"/>
      </w:tblGrid>
      <w:tr>
        <w:tc>
          <w:tcPr>
            <w:tcW w:type="dxa" w:w="1656"/>
            <w:vAlign w:val="center"/>
            <w:tcMar>
              <w:top w:w="70" w:type="dxa"/>
              <w:start w:w="90" w:type="dxa"/>
              <w:bottom w:w="70" w:type="dxa"/>
              <w:end w:w="90" w:type="dxa"/>
            </w:tcMar>
            <w:shd w:fill="EAF0F6"/>
          </w:tcPr>
          <w:p>
            <w:pPr>
              <w:spacing w:after="0"/>
            </w:pPr>
            <w:r>
              <w:rPr>
                <w:b/>
                <w:color w:val="263442"/>
                <w:sz w:val="15"/>
              </w:rPr>
              <w:t>Document Owner</w:t>
            </w:r>
          </w:p>
        </w:tc>
        <w:tc>
          <w:tcPr>
            <w:tcW w:type="dxa" w:w="3240"/>
            <w:vAlign w:val="center"/>
            <w:tcMar>
              <w:top w:w="70" w:type="dxa"/>
              <w:start w:w="90" w:type="dxa"/>
              <w:bottom w:w="70" w:type="dxa"/>
              <w:end w:w="90" w:type="dxa"/>
            </w:tcMar>
          </w:tcPr>
          <w:p>
            <w:pPr>
              <w:spacing w:after="0"/>
            </w:pPr>
            <w:r>
              <w:rPr>
                <w:b w:val="0"/>
                <w:color w:val="263442"/>
                <w:sz w:val="15"/>
              </w:rPr>
              <w:t>Human Resources Department</w:t>
            </w:r>
          </w:p>
        </w:tc>
        <w:tc>
          <w:tcPr>
            <w:tcW w:type="dxa" w:w="1584"/>
            <w:vAlign w:val="center"/>
            <w:tcMar>
              <w:top w:w="70" w:type="dxa"/>
              <w:start w:w="90" w:type="dxa"/>
              <w:bottom w:w="70" w:type="dxa"/>
              <w:end w:w="90" w:type="dxa"/>
            </w:tcMar>
            <w:shd w:fill="EAF0F6"/>
          </w:tcPr>
          <w:p>
            <w:pPr>
              <w:spacing w:after="0"/>
            </w:pPr>
            <w:r>
              <w:rPr>
                <w:b/>
                <w:color w:val="263442"/>
                <w:sz w:val="15"/>
              </w:rPr>
              <w:t>Version</w:t>
            </w:r>
          </w:p>
        </w:tc>
        <w:tc>
          <w:tcPr>
            <w:tcW w:type="dxa" w:w="3240"/>
            <w:vAlign w:val="center"/>
            <w:tcMar>
              <w:top w:w="70" w:type="dxa"/>
              <w:start w:w="90" w:type="dxa"/>
              <w:bottom w:w="70" w:type="dxa"/>
              <w:end w:w="90" w:type="dxa"/>
            </w:tcMar>
          </w:tcPr>
          <w:p>
            <w:pPr>
              <w:spacing w:after="0"/>
            </w:pPr>
            <w:r>
              <w:rPr>
                <w:b w:val="0"/>
                <w:color w:val="263442"/>
                <w:sz w:val="15"/>
              </w:rPr>
              <w:t>1.0</w:t>
            </w:r>
          </w:p>
        </w:tc>
      </w:tr>
      <w:tr>
        <w:tc>
          <w:tcPr>
            <w:tcW w:type="dxa" w:w="1656"/>
            <w:vAlign w:val="center"/>
            <w:tcMar>
              <w:top w:w="70" w:type="dxa"/>
              <w:start w:w="90" w:type="dxa"/>
              <w:bottom w:w="70" w:type="dxa"/>
              <w:end w:w="90" w:type="dxa"/>
            </w:tcMar>
            <w:shd w:fill="EAF0F6"/>
          </w:tcPr>
          <w:p>
            <w:pPr>
              <w:spacing w:after="0"/>
            </w:pPr>
            <w:r>
              <w:rPr>
                <w:b/>
                <w:color w:val="263442"/>
                <w:sz w:val="15"/>
              </w:rPr>
              <w:t>Effective Date</w:t>
            </w:r>
          </w:p>
        </w:tc>
        <w:tc>
          <w:tcPr>
            <w:tcW w:type="dxa" w:w="3240"/>
            <w:vAlign w:val="center"/>
            <w:tcMar>
              <w:top w:w="70" w:type="dxa"/>
              <w:start w:w="90" w:type="dxa"/>
              <w:bottom w:w="70" w:type="dxa"/>
              <w:end w:w="90" w:type="dxa"/>
            </w:tcMar>
          </w:tcPr>
          <w:p>
            <w:pPr>
              <w:spacing w:after="0"/>
            </w:pPr>
            <w:r>
              <w:rPr>
                <w:b w:val="0"/>
                <w:color w:val="263442"/>
                <w:sz w:val="15"/>
              </w:rPr>
              <w:t>1 September 2026</w:t>
            </w:r>
          </w:p>
        </w:tc>
        <w:tc>
          <w:tcPr>
            <w:tcW w:type="dxa" w:w="1584"/>
            <w:vAlign w:val="center"/>
            <w:tcMar>
              <w:top w:w="70" w:type="dxa"/>
              <w:start w:w="90" w:type="dxa"/>
              <w:bottom w:w="70" w:type="dxa"/>
              <w:end w:w="90" w:type="dxa"/>
            </w:tcMar>
            <w:shd w:fill="EAF0F6"/>
          </w:tcPr>
          <w:p>
            <w:pPr>
              <w:spacing w:after="0"/>
            </w:pPr>
            <w:r>
              <w:rPr>
                <w:b/>
                <w:color w:val="263442"/>
                <w:sz w:val="15"/>
              </w:rPr>
              <w:t>Review Date</w:t>
            </w:r>
          </w:p>
        </w:tc>
        <w:tc>
          <w:tcPr>
            <w:tcW w:type="dxa" w:w="3240"/>
            <w:vAlign w:val="center"/>
            <w:tcMar>
              <w:top w:w="70" w:type="dxa"/>
              <w:start w:w="90" w:type="dxa"/>
              <w:bottom w:w="70" w:type="dxa"/>
              <w:end w:w="90" w:type="dxa"/>
            </w:tcMar>
          </w:tcPr>
          <w:p>
            <w:pPr>
              <w:spacing w:after="0"/>
            </w:pPr>
            <w:r>
              <w:rPr>
                <w:b w:val="0"/>
                <w:color w:val="263442"/>
                <w:sz w:val="15"/>
              </w:rPr>
              <w:t>1 September 2027</w:t>
            </w:r>
          </w:p>
        </w:tc>
      </w:tr>
      <w:tr>
        <w:tc>
          <w:tcPr>
            <w:tcW w:type="dxa" w:w="1656"/>
            <w:vAlign w:val="center"/>
            <w:tcMar>
              <w:top w:w="70" w:type="dxa"/>
              <w:start w:w="90" w:type="dxa"/>
              <w:bottom w:w="70" w:type="dxa"/>
              <w:end w:w="90" w:type="dxa"/>
            </w:tcMar>
            <w:shd w:fill="EAF0F6"/>
          </w:tcPr>
          <w:p>
            <w:pPr>
              <w:spacing w:after="0"/>
            </w:pPr>
            <w:r>
              <w:rPr>
                <w:b/>
                <w:color w:val="263442"/>
                <w:sz w:val="15"/>
              </w:rPr>
              <w:t>Classification</w:t>
            </w:r>
          </w:p>
        </w:tc>
        <w:tc>
          <w:tcPr>
            <w:tcW w:type="dxa" w:w="3240"/>
            <w:vAlign w:val="center"/>
            <w:tcMar>
              <w:top w:w="70" w:type="dxa"/>
              <w:start w:w="90" w:type="dxa"/>
              <w:bottom w:w="70" w:type="dxa"/>
              <w:end w:w="90" w:type="dxa"/>
            </w:tcMar>
          </w:tcPr>
          <w:p>
            <w:pPr>
              <w:spacing w:after="0"/>
            </w:pPr>
            <w:r>
              <w:rPr>
                <w:b w:val="0"/>
                <w:color w:val="263442"/>
                <w:sz w:val="15"/>
              </w:rPr>
              <w:t>Internal Use</w:t>
            </w:r>
          </w:p>
        </w:tc>
        <w:tc>
          <w:tcPr>
            <w:tcW w:type="dxa" w:w="1584"/>
            <w:vAlign w:val="center"/>
            <w:tcMar>
              <w:top w:w="70" w:type="dxa"/>
              <w:start w:w="90" w:type="dxa"/>
              <w:bottom w:w="70" w:type="dxa"/>
              <w:end w:w="90" w:type="dxa"/>
            </w:tcMar>
            <w:shd w:fill="EAF0F6"/>
          </w:tcPr>
          <w:p>
            <w:pPr>
              <w:spacing w:after="0"/>
            </w:pPr>
            <w:r>
              <w:rPr>
                <w:b/>
                <w:color w:val="263442"/>
                <w:sz w:val="15"/>
              </w:rPr>
              <w:t>Applicability</w:t>
            </w:r>
          </w:p>
        </w:tc>
        <w:tc>
          <w:tcPr>
            <w:tcW w:type="dxa" w:w="3240"/>
            <w:vAlign w:val="center"/>
            <w:tcMar>
              <w:top w:w="70" w:type="dxa"/>
              <w:start w:w="90" w:type="dxa"/>
              <w:bottom w:w="70" w:type="dxa"/>
              <w:end w:w="90" w:type="dxa"/>
            </w:tcMar>
          </w:tcPr>
          <w:p>
            <w:pPr>
              <w:spacing w:after="0"/>
            </w:pPr>
            <w:r>
              <w:rPr>
                <w:b w:val="0"/>
                <w:color w:val="263442"/>
                <w:sz w:val="15"/>
              </w:rPr>
              <w:t>All workers unless stated otherwise</w:t>
            </w:r>
          </w:p>
        </w:tc>
      </w:tr>
    </w:tbl>
    <w:p/>
    <w:p>
      <w:pPr>
        <w:pStyle w:val="Subtitle"/>
        <w:jc w:val="left"/>
      </w:pPr>
      <w:r>
        <w:rPr>
          <w:b/>
          <w:color w:val="5B7C99"/>
          <w:sz w:val="16"/>
        </w:rPr>
        <w:t>POLICY 01</w:t>
      </w:r>
    </w:p>
    <w:p>
      <w:pPr>
        <w:pStyle w:val="Heading1"/>
      </w:pPr>
      <w:r>
        <w:t>Remote and Hybrid Work Policy</w:t>
      </w:r>
    </w:p>
    <w:p>
      <w:pPr>
        <w:pStyle w:val="Heading2"/>
      </w:pPr>
      <w:r>
        <w:t>1. Purpose</w:t>
      </w:r>
    </w:p>
    <w:p>
      <w:r>
        <w:t>The Remote and Hybrid Work Policy establishes guidelines for employees who perform their duties outside a company office. The policy is intended to provide flexibility while maintaining productivity, information security, collaboration, customer service, and operational continuity.</w:t>
      </w:r>
    </w:p>
    <w:p>
      <w:pPr>
        <w:pStyle w:val="Heading2"/>
      </w:pPr>
      <w:r>
        <w:t>2. Eligibility</w:t>
      </w:r>
    </w:p>
    <w:p>
      <w:r>
        <w:t>Permanent employees who have completed at least three months of service may request hybrid work. Employees on probation, interns, and temporary staff must obtain written approval from their department head and Human Resources.</w:t>
      </w:r>
    </w:p>
    <w:p>
      <w:r>
        <w:t>Roles involving physical equipment, reception services, facility management, secure documents, or continuous on-site customer support may not be eligible for regular remote work.</w:t>
      </w:r>
    </w:p>
    <w:p>
      <w:pPr>
        <w:pStyle w:val="Heading2"/>
      </w:pPr>
      <w:r>
        <w:t>3. Permitted Remote-Work Days</w:t>
      </w:r>
    </w:p>
    <w:p>
      <w:r>
        <w:t>Eligible employees may work remotely for up to two days per week. Remote-working days must be agreed upon with the reporting manager and recorded in the attendance system. Employees must not treat remote work as annual leave, sick leave, or a substitute for dependent-care arrangements.</w:t>
      </w:r>
    </w:p>
    <w:p>
      <w:pPr>
        <w:pStyle w:val="Heading2"/>
      </w:pPr>
      <w:r>
        <w:t>4. Working Hours and Availability</w:t>
      </w:r>
    </w:p>
    <w:p>
      <w:r>
        <w:t>Employees must be available during core collaboration hours of 10:00 a.m. to 4:00 p.m. Normal working hours remain 9:00 a.m. to 6:00 p.m., including a one-hour meal break.</w:t>
      </w:r>
    </w:p>
    <w:p>
      <w:pPr>
        <w:pStyle w:val="ListBullet"/>
      </w:pPr>
      <w:r>
        <w:t>Attend scheduled meetings.</w:t>
      </w:r>
    </w:p>
    <w:p>
      <w:pPr>
        <w:pStyle w:val="ListBullet"/>
      </w:pPr>
      <w:r>
        <w:t>Respond to urgent messages within 30 minutes during working hours.</w:t>
      </w:r>
    </w:p>
    <w:p>
      <w:pPr>
        <w:pStyle w:val="ListBullet"/>
      </w:pPr>
      <w:r>
        <w:t>Maintain an updated calendar and availability status.</w:t>
      </w:r>
    </w:p>
    <w:p>
      <w:pPr>
        <w:pStyle w:val="ListBullet"/>
      </w:pPr>
      <w:r>
        <w:t>Inform the manager about power, internet, or equipment disruption.</w:t>
      </w:r>
    </w:p>
    <w:p>
      <w:pPr>
        <w:pStyle w:val="ListBullet"/>
      </w:pPr>
      <w:r>
        <w:t>Work from a location that protects confidential information.</w:t>
      </w:r>
    </w:p>
    <w:p>
      <w:pPr>
        <w:pStyle w:val="Heading2"/>
      </w:pPr>
      <w:r>
        <w:t>5. Equipment and Security</w:t>
      </w:r>
    </w:p>
    <w:p>
      <w:r>
        <w:t>Company-issued equipment must be used primarily for authorized business activities. Employees must connect through the approved virtual private network when accessing internal systems remotely. Lost or stolen equipment must be reported to the IT Service Desk and reporting manager within one hour of discovery.</w:t>
      </w:r>
    </w:p>
    <w:p>
      <w:pPr>
        <w:pStyle w:val="Heading2"/>
      </w:pPr>
      <w:r>
        <w:t>6. Approval Procedure</w:t>
      </w:r>
    </w:p>
    <w:p>
      <w:pPr>
        <w:pStyle w:val="ListNumber"/>
      </w:pPr>
      <w:r>
        <w:t>The employee submits a remote-work request in the HR portal.</w:t>
      </w:r>
    </w:p>
    <w:p>
      <w:pPr>
        <w:pStyle w:val="ListNumber"/>
      </w:pPr>
      <w:r>
        <w:t>The reporting manager evaluates operational requirements.</w:t>
      </w:r>
    </w:p>
    <w:p>
      <w:pPr>
        <w:pStyle w:val="ListNumber"/>
      </w:pPr>
      <w:r>
        <w:t>The department head reviews any request exceeding two remote days per week.</w:t>
      </w:r>
    </w:p>
    <w:p>
      <w:pPr>
        <w:pStyle w:val="ListNumber"/>
      </w:pPr>
      <w:r>
        <w:t>Human Resources records the approved arrangement.</w:t>
      </w:r>
    </w:p>
    <w:p>
      <w:pPr>
        <w:pStyle w:val="ListNumber"/>
      </w:pPr>
      <w:r>
        <w:t>The arrangement is reviewed every six months.</w:t>
      </w:r>
    </w:p>
    <w:p>
      <w:r>
        <w:t>The company may suspend or withdraw remote-working privileges when there are performance, security, attendance, or business-continuity concerns.</w:t>
      </w:r>
    </w:p>
    <w:p>
      <w:r>
        <w:br w:type="page"/>
      </w:r>
    </w:p>
    <w:p>
      <w:pPr>
        <w:pStyle w:val="Subtitle"/>
        <w:jc w:val="left"/>
      </w:pPr>
      <w:r>
        <w:rPr>
          <w:b/>
          <w:color w:val="5B7C99"/>
          <w:sz w:val="16"/>
        </w:rPr>
        <w:t>POLICY 02</w:t>
      </w:r>
    </w:p>
    <w:p>
      <w:pPr>
        <w:pStyle w:val="Heading1"/>
      </w:pPr>
      <w:r>
        <w:t>Leave and Holiday Policy</w:t>
      </w:r>
    </w:p>
    <w:p>
      <w:pPr>
        <w:pStyle w:val="Heading2"/>
      </w:pPr>
      <w:r>
        <w:t>1. Purpose</w:t>
      </w:r>
    </w:p>
    <w:p>
      <w:r>
        <w:t>This policy defines the leave benefits available to employees and the procedure for requesting, approving, recording, and cancelling leave.</w:t>
      </w:r>
    </w:p>
    <w:p>
      <w:pPr>
        <w:pStyle w:val="Heading2"/>
      </w:pPr>
      <w:r>
        <w:t>2. Leave Entitlements</w:t>
      </w:r>
    </w:p>
    <w:p>
      <w:pPr>
        <w:pStyle w:val="ListBullet"/>
      </w:pPr>
      <w:r>
        <w:t>Casual Leave: 8 working days</w:t>
      </w:r>
    </w:p>
    <w:p>
      <w:pPr>
        <w:pStyle w:val="ListBullet"/>
      </w:pPr>
      <w:r>
        <w:t>Sick Leave: 10 working days</w:t>
      </w:r>
    </w:p>
    <w:p>
      <w:pPr>
        <w:pStyle w:val="ListBullet"/>
      </w:pPr>
      <w:r>
        <w:t>Earned Leave: 18 working days</w:t>
      </w:r>
    </w:p>
    <w:p>
      <w:pPr>
        <w:pStyle w:val="ListBullet"/>
      </w:pPr>
      <w:r>
        <w:t>Bereavement Leave: Up to 5 working days</w:t>
      </w:r>
    </w:p>
    <w:p>
      <w:pPr>
        <w:pStyle w:val="ListBullet"/>
      </w:pPr>
      <w:r>
        <w:t>Marriage Leave: Up to 5 working days</w:t>
      </w:r>
    </w:p>
    <w:p>
      <w:pPr>
        <w:pStyle w:val="ListBullet"/>
      </w:pPr>
      <w:r>
        <w:t>Optional Holiday: 2 working days</w:t>
      </w:r>
    </w:p>
    <w:p>
      <w:r>
        <w:t>Maternity, adoption, and paternity leave will be administered according to applicable law and company benefit rules.</w:t>
      </w:r>
    </w:p>
    <w:p>
      <w:pPr>
        <w:pStyle w:val="Heading2"/>
      </w:pPr>
      <w:r>
        <w:t>3. Leave Application Requirements</w:t>
      </w:r>
    </w:p>
    <w:p>
      <w:r>
        <w:t>Planned leave must be requested through the HR portal at least:</w:t>
      </w:r>
    </w:p>
    <w:p>
      <w:pPr>
        <w:pStyle w:val="ListBullet"/>
      </w:pPr>
      <w:r>
        <w:t>2 working days in advance for casual leave.</w:t>
      </w:r>
    </w:p>
    <w:p>
      <w:pPr>
        <w:pStyle w:val="ListBullet"/>
      </w:pPr>
      <w:r>
        <w:t>7 calendar days in advance for earned leave of up to five days.</w:t>
      </w:r>
    </w:p>
    <w:p>
      <w:pPr>
        <w:pStyle w:val="ListBullet"/>
      </w:pPr>
      <w:r>
        <w:t>15 calendar days in advance for earned leave exceeding five days.</w:t>
      </w:r>
    </w:p>
    <w:p>
      <w:r>
        <w:t>Sick leave must be reported to the manager before the employee’s scheduled start time. A medical certificate may be required when sick leave exceeds two consecutive working days.</w:t>
      </w:r>
    </w:p>
    <w:p>
      <w:pPr>
        <w:pStyle w:val="Heading2"/>
      </w:pPr>
      <w:r>
        <w:t>4. Approval Authority</w:t>
      </w:r>
    </w:p>
    <w:p>
      <w:pPr>
        <w:pStyle w:val="ListBullet"/>
      </w:pPr>
      <w:r>
        <w:t>Leave of up to three working days may be approved by the reporting manager.</w:t>
      </w:r>
    </w:p>
    <w:p>
      <w:pPr>
        <w:pStyle w:val="ListBullet"/>
      </w:pPr>
      <w:r>
        <w:t>Leave of four to ten working days requires department-head approval.</w:t>
      </w:r>
    </w:p>
    <w:p>
      <w:pPr>
        <w:pStyle w:val="ListBullet"/>
      </w:pPr>
      <w:r>
        <w:t>Leave exceeding ten working days requires approval from the department head and Human Resources.</w:t>
      </w:r>
    </w:p>
    <w:p>
      <w:r>
        <w:t>Approval depends on available leave balance, team capacity, customer commitments, and operational requirements.</w:t>
      </w:r>
    </w:p>
    <w:p>
      <w:pPr>
        <w:pStyle w:val="Heading2"/>
      </w:pPr>
      <w:r>
        <w:t>5. Carry Forward and Expiry</w:t>
      </w:r>
    </w:p>
    <w:p>
      <w:r>
        <w:t>A maximum of 30 earned-leave days may be carried forward to the next calendar year. Casual leave and sick leave cannot ordinarily be carried forward unless required by applicable law.</w:t>
      </w:r>
    </w:p>
    <w:p>
      <w:pPr>
        <w:pStyle w:val="Heading2"/>
      </w:pPr>
      <w:r>
        <w:t>6. Unauthorized Absence</w:t>
      </w:r>
    </w:p>
    <w:p>
      <w:r>
        <w:t>Failure to report an absence for two consecutive working days may be treated as unauthorized absence. Human Resources may initiate a formal attendance review if an employee does not respond to reasonable attempts to establish contact.</w:t>
      </w:r>
    </w:p>
    <w:p>
      <w:r>
        <w:br w:type="page"/>
      </w:r>
    </w:p>
    <w:p>
      <w:pPr>
        <w:pStyle w:val="Subtitle"/>
        <w:jc w:val="left"/>
      </w:pPr>
      <w:r>
        <w:rPr>
          <w:b/>
          <w:color w:val="5B7C99"/>
          <w:sz w:val="16"/>
        </w:rPr>
        <w:t>POLICY 03</w:t>
      </w:r>
    </w:p>
    <w:p>
      <w:pPr>
        <w:pStyle w:val="Heading1"/>
      </w:pPr>
      <w:r>
        <w:t>Business Travel Policy</w:t>
      </w:r>
    </w:p>
    <w:p>
      <w:pPr>
        <w:pStyle w:val="Heading2"/>
      </w:pPr>
      <w:r>
        <w:t>1. Purpose</w:t>
      </w:r>
    </w:p>
    <w:p>
      <w:r>
        <w:t>The Business Travel Policy ensures that official travel is necessary, safe, cost-effective, properly authorized, and supported by accurate documentation.</w:t>
      </w:r>
    </w:p>
    <w:p>
      <w:pPr>
        <w:pStyle w:val="Heading2"/>
      </w:pPr>
      <w:r>
        <w:t>2. Travel Authorization</w:t>
      </w:r>
    </w:p>
    <w:p>
      <w:r>
        <w:t>Employees must obtain written approval before making any travel booking. Domestic travel requires approval from the reporting manager and cost-center owner. International travel requires department-head and Finance approval.</w:t>
      </w:r>
    </w:p>
    <w:p>
      <w:pPr>
        <w:pStyle w:val="ListBullet"/>
      </w:pPr>
      <w:r>
        <w:t>Submit domestic travel requests at least 7 calendar days before travel.</w:t>
      </w:r>
    </w:p>
    <w:p>
      <w:pPr>
        <w:pStyle w:val="ListBullet"/>
      </w:pPr>
      <w:r>
        <w:t>Submit international travel requests at least 21 calendar days before travel.</w:t>
      </w:r>
    </w:p>
    <w:p>
      <w:pPr>
        <w:pStyle w:val="Heading2"/>
      </w:pPr>
      <w:r>
        <w:t>3. Travel Class</w:t>
      </w:r>
    </w:p>
    <w:p>
      <w:pPr>
        <w:pStyle w:val="ListBullet"/>
      </w:pPr>
      <w:r>
        <w:t>Rail journeys under six hours: air-conditioned chair car or equivalent.</w:t>
      </w:r>
    </w:p>
    <w:p>
      <w:pPr>
        <w:pStyle w:val="ListBullet"/>
      </w:pPr>
      <w:r>
        <w:t>Rail journeys exceeding six hours: air-conditioned two-tier or equivalent.</w:t>
      </w:r>
    </w:p>
    <w:p>
      <w:pPr>
        <w:pStyle w:val="ListBullet"/>
      </w:pPr>
      <w:r>
        <w:t>Domestic flights: economy class.</w:t>
      </w:r>
    </w:p>
    <w:p>
      <w:pPr>
        <w:pStyle w:val="ListBullet"/>
      </w:pPr>
      <w:r>
        <w:t>International flights under eight hours: economy class.</w:t>
      </w:r>
    </w:p>
    <w:p>
      <w:pPr>
        <w:pStyle w:val="ListBullet"/>
      </w:pPr>
      <w:r>
        <w:t>International flights exceeding eight hours: premium economy with department-head approval.</w:t>
      </w:r>
    </w:p>
    <w:p>
      <w:pPr>
        <w:pStyle w:val="Heading2"/>
      </w:pPr>
      <w:r>
        <w:t>4. Accommodation and Meals</w:t>
      </w:r>
    </w:p>
    <w:p>
      <w:pPr>
        <w:pStyle w:val="ListBullet"/>
      </w:pPr>
      <w:r>
        <w:t>Metro cities: INR 7,500 per night.</w:t>
      </w:r>
    </w:p>
    <w:p>
      <w:pPr>
        <w:pStyle w:val="ListBullet"/>
      </w:pPr>
      <w:r>
        <w:t>Other cities: INR 5,000 per night.</w:t>
      </w:r>
    </w:p>
    <w:p>
      <w:pPr>
        <w:pStyle w:val="ListBullet"/>
      </w:pPr>
      <w:r>
        <w:t>Domestic meal allowance: up to INR 1,500 per day.</w:t>
      </w:r>
    </w:p>
    <w:p>
      <w:r>
        <w:t>Alcoholic beverages, personal entertainment, minibar charges, and expenses for accompanying family members are not reimbursable.</w:t>
      </w:r>
    </w:p>
    <w:p>
      <w:pPr>
        <w:pStyle w:val="Heading2"/>
      </w:pPr>
      <w:r>
        <w:t>5. Local Transportation</w:t>
      </w:r>
    </w:p>
    <w:p>
      <w:r>
        <w:t>Employees should use safe and reasonably priced transportation. Taxi and ride-hailing receipts must include the travel date, route, amount, and business purpose.</w:t>
      </w:r>
    </w:p>
    <w:p>
      <w:pPr>
        <w:pStyle w:val="Heading2"/>
      </w:pPr>
      <w:r>
        <w:t>6. Travel Expense Claims</w:t>
      </w:r>
    </w:p>
    <w:p>
      <w:r>
        <w:t>Expense claims must be submitted within 10 working days after the employee returns. Original invoices or acceptable digital receipts must be attached. Claims submitted more than 30 calendar days after travel may be rejected unless the Finance Manager approves an exception.</w:t>
      </w:r>
    </w:p>
    <w:p>
      <w:pPr>
        <w:pStyle w:val="Heading2"/>
      </w:pPr>
      <w:r>
        <w:t>7. Travel Changes and Emergencies</w:t>
      </w:r>
    </w:p>
    <w:p>
      <w:r>
        <w:t>Employees must notify the designated travel coordinator when a booking needs to be changed. In an emergency, the employee should prioritize personal safety and contact the reporting manager as soon as reasonably possible.</w:t>
      </w:r>
    </w:p>
    <w:p>
      <w:r>
        <w:br w:type="page"/>
      </w:r>
    </w:p>
    <w:p>
      <w:pPr>
        <w:pStyle w:val="Subtitle"/>
        <w:jc w:val="left"/>
      </w:pPr>
      <w:r>
        <w:rPr>
          <w:b/>
          <w:color w:val="5B7C99"/>
          <w:sz w:val="16"/>
        </w:rPr>
        <w:t>POLICY 04</w:t>
      </w:r>
    </w:p>
    <w:p>
      <w:pPr>
        <w:pStyle w:val="Heading1"/>
      </w:pPr>
      <w:r>
        <w:t>Information Security and Acceptable Use Policy</w:t>
      </w:r>
    </w:p>
    <w:p>
      <w:pPr>
        <w:pStyle w:val="Heading2"/>
      </w:pPr>
      <w:r>
        <w:t>1. Purpose</w:t>
      </w:r>
    </w:p>
    <w:p>
      <w:r>
        <w:t>This policy protects company systems, information, devices, customer records, and intellectual property against unauthorized access, loss, alteration, disclosure, or misuse.</w:t>
      </w:r>
    </w:p>
    <w:p>
      <w:pPr>
        <w:pStyle w:val="Heading2"/>
      </w:pPr>
      <w:r>
        <w:t>2. Password and Authentication Requirements</w:t>
      </w:r>
    </w:p>
    <w:p>
      <w:pPr>
        <w:pStyle w:val="ListBullet"/>
      </w:pPr>
      <w:r>
        <w:t>Contain at least 12 characters.</w:t>
      </w:r>
    </w:p>
    <w:p>
      <w:pPr>
        <w:pStyle w:val="ListBullet"/>
      </w:pPr>
      <w:r>
        <w:t>Include uppercase letters, lowercase letters, numbers, and permitted special characters.</w:t>
      </w:r>
    </w:p>
    <w:p>
      <w:pPr>
        <w:pStyle w:val="ListBullet"/>
      </w:pPr>
      <w:r>
        <w:t>Not contain the employee’s name or employee number.</w:t>
      </w:r>
    </w:p>
    <w:p>
      <w:pPr>
        <w:pStyle w:val="ListBullet"/>
      </w:pPr>
      <w:r>
        <w:t>Not be shared with colleagues, managers, or support personnel.</w:t>
      </w:r>
    </w:p>
    <w:p>
      <w:pPr>
        <w:pStyle w:val="ListBullet"/>
      </w:pPr>
      <w:r>
        <w:t>Not be reused across personal and company accounts.</w:t>
      </w:r>
    </w:p>
    <w:p>
      <w:pPr>
        <w:pStyle w:val="ListBullet"/>
      </w:pPr>
      <w:r>
        <w:t>Enable multifactor authentication wherever supported.</w:t>
      </w:r>
    </w:p>
    <w:p>
      <w:pPr>
        <w:pStyle w:val="Heading2"/>
      </w:pPr>
      <w:r>
        <w:t>3. Data Classification</w:t>
      </w:r>
    </w:p>
    <w:p>
      <w:pPr>
        <w:pStyle w:val="ListNumber"/>
      </w:pPr>
      <w:r>
        <w:t>Public: Approved for external distribution.</w:t>
      </w:r>
    </w:p>
    <w:p>
      <w:pPr>
        <w:pStyle w:val="ListNumber"/>
      </w:pPr>
      <w:r>
        <w:t>Internal: Intended for employees and approved contractors.</w:t>
      </w:r>
    </w:p>
    <w:p>
      <w:pPr>
        <w:pStyle w:val="ListNumber"/>
      </w:pPr>
      <w:r>
        <w:t>Confidential: Sensitive commercial, employee, customer, or operational information.</w:t>
      </w:r>
    </w:p>
    <w:p>
      <w:pPr>
        <w:pStyle w:val="ListNumber"/>
      </w:pPr>
      <w:r>
        <w:t>Restricted: Highly sensitive information requiring explicit authorization and enhanced protection.</w:t>
      </w:r>
    </w:p>
    <w:p>
      <w:r>
        <w:t>Confidential and restricted information must not be stored in personal email, consumer file-sharing services, or unauthorized applications.</w:t>
      </w:r>
    </w:p>
    <w:p>
      <w:pPr>
        <w:pStyle w:val="Heading2"/>
      </w:pPr>
      <w:r>
        <w:t>4. Email and Internet Use</w:t>
      </w:r>
    </w:p>
    <w:p>
      <w:r>
        <w:t>Employees must use company communication systems professionally. Suspicious links, attachments, payment requests, and password-reset messages must be reported using the approved security-reporting process. Company systems must not be used for unlawful activity, harassment, unauthorized commercial activity, or downloading unlicensed software.</w:t>
      </w:r>
    </w:p>
    <w:p>
      <w:pPr>
        <w:pStyle w:val="Heading2"/>
      </w:pPr>
      <w:r>
        <w:t>5. Security Incident Reporting</w:t>
      </w:r>
    </w:p>
    <w:p>
      <w:r>
        <w:t>Suspected data loss, phishing, malware, unauthorized access, or device theft must be reported to the Information Security team immediately. Employees should not investigate or delete evidence unless instructed by an authorized incident responder.</w:t>
      </w:r>
    </w:p>
    <w:p>
      <w:pPr>
        <w:pStyle w:val="Heading2"/>
      </w:pPr>
      <w:r>
        <w:t>6. Policy Violations</w:t>
      </w:r>
    </w:p>
    <w:p>
      <w:r>
        <w:t>Access privileges may be temporarily suspended during an investigation. Confirmed violations may result in additional training, formal disciplinary action, access restrictions, or other action consistent with company policy and applicable law.</w:t>
      </w:r>
    </w:p>
    <w:p>
      <w:r>
        <w:br w:type="page"/>
      </w:r>
    </w:p>
    <w:p>
      <w:pPr>
        <w:pStyle w:val="Subtitle"/>
        <w:jc w:val="left"/>
      </w:pPr>
      <w:r>
        <w:rPr>
          <w:b/>
          <w:color w:val="5B7C99"/>
          <w:sz w:val="16"/>
        </w:rPr>
        <w:t>POLICY 05</w:t>
      </w:r>
    </w:p>
    <w:p>
      <w:pPr>
        <w:pStyle w:val="Heading1"/>
      </w:pPr>
      <w:r>
        <w:t>Expense Reimbursement Policy</w:t>
      </w:r>
    </w:p>
    <w:p>
      <w:pPr>
        <w:pStyle w:val="Heading2"/>
      </w:pPr>
      <w:r>
        <w:t>1. Purpose</w:t>
      </w:r>
    </w:p>
    <w:p>
      <w:r>
        <w:t>This policy explains which business expenses may be reimbursed and the documentation, approval, and submission requirements that apply.</w:t>
      </w:r>
    </w:p>
    <w:p>
      <w:pPr>
        <w:pStyle w:val="Heading2"/>
      </w:pPr>
      <w:r>
        <w:t>2. Eligible Expenses</w:t>
      </w:r>
    </w:p>
    <w:p>
      <w:pPr>
        <w:pStyle w:val="ListBullet"/>
      </w:pPr>
      <w:r>
        <w:t>Business travel and accommodation</w:t>
      </w:r>
    </w:p>
    <w:p>
      <w:pPr>
        <w:pStyle w:val="ListBullet"/>
      </w:pPr>
      <w:r>
        <w:t>Customer meetings</w:t>
      </w:r>
    </w:p>
    <w:p>
      <w:pPr>
        <w:pStyle w:val="ListBullet"/>
      </w:pPr>
      <w:r>
        <w:t>Approved training and conferences</w:t>
      </w:r>
    </w:p>
    <w:p>
      <w:pPr>
        <w:pStyle w:val="ListBullet"/>
      </w:pPr>
      <w:r>
        <w:t>Office supplies</w:t>
      </w:r>
    </w:p>
    <w:p>
      <w:pPr>
        <w:pStyle w:val="ListBullet"/>
      </w:pPr>
      <w:r>
        <w:t>Business communication expenses</w:t>
      </w:r>
    </w:p>
    <w:p>
      <w:pPr>
        <w:pStyle w:val="ListBullet"/>
      </w:pPr>
      <w:r>
        <w:t>Local transportation</w:t>
      </w:r>
    </w:p>
    <w:p>
      <w:pPr>
        <w:pStyle w:val="ListBullet"/>
      </w:pPr>
      <w:r>
        <w:t>Approved professional membership fees</w:t>
      </w:r>
    </w:p>
    <w:p>
      <w:pPr>
        <w:pStyle w:val="Heading2"/>
      </w:pPr>
      <w:r>
        <w:t>3. Documentation Requirements</w:t>
      </w:r>
    </w:p>
    <w:p>
      <w:pPr>
        <w:pStyle w:val="ListBullet"/>
      </w:pPr>
      <w:r>
        <w:t>Transaction date</w:t>
      </w:r>
    </w:p>
    <w:p>
      <w:pPr>
        <w:pStyle w:val="ListBullet"/>
      </w:pPr>
      <w:r>
        <w:t>Vendor name</w:t>
      </w:r>
    </w:p>
    <w:p>
      <w:pPr>
        <w:pStyle w:val="ListBullet"/>
      </w:pPr>
      <w:r>
        <w:t>Amount and applicable taxes</w:t>
      </w:r>
    </w:p>
    <w:p>
      <w:pPr>
        <w:pStyle w:val="ListBullet"/>
      </w:pPr>
      <w:r>
        <w:t>Business purpose</w:t>
      </w:r>
    </w:p>
    <w:p>
      <w:pPr>
        <w:pStyle w:val="ListBullet"/>
      </w:pPr>
      <w:r>
        <w:t>Cost center or project code</w:t>
      </w:r>
    </w:p>
    <w:p>
      <w:pPr>
        <w:pStyle w:val="ListBullet"/>
      </w:pPr>
      <w:r>
        <w:t>Itemized receipt or tax invoice</w:t>
      </w:r>
    </w:p>
    <w:p>
      <w:pPr>
        <w:pStyle w:val="ListBullet"/>
      </w:pPr>
      <w:r>
        <w:t>Required approval</w:t>
      </w:r>
    </w:p>
    <w:p>
      <w:r>
        <w:t>A card-payment message or bank statement alone is not considered an adequate receipt.</w:t>
      </w:r>
    </w:p>
    <w:p>
      <w:pPr>
        <w:pStyle w:val="Heading2"/>
      </w:pPr>
      <w:r>
        <w:t>4. Submission Deadline</w:t>
      </w:r>
    </w:p>
    <w:p>
      <w:r>
        <w:t>Employees must submit expense claims within 15 calendar days of the transaction or completion of travel. Claims older than 60 calendar days require written approval from the Finance Controller.</w:t>
      </w:r>
    </w:p>
    <w:p>
      <w:pPr>
        <w:pStyle w:val="Heading2"/>
      </w:pPr>
      <w:r>
        <w:t>5. Approval Levels</w:t>
      </w:r>
    </w:p>
    <w:p>
      <w:pPr>
        <w:pStyle w:val="ListBullet"/>
      </w:pPr>
      <w:r>
        <w:t>Up to INR 5,000: Reporting manager</w:t>
      </w:r>
    </w:p>
    <w:p>
      <w:pPr>
        <w:pStyle w:val="ListBullet"/>
      </w:pPr>
      <w:r>
        <w:t>INR 5,001 to INR 25,000: Department manager</w:t>
      </w:r>
    </w:p>
    <w:p>
      <w:pPr>
        <w:pStyle w:val="ListBullet"/>
      </w:pPr>
      <w:r>
        <w:t>INR 25,001 to INR 100,000: Department head and Finance Manager</w:t>
      </w:r>
    </w:p>
    <w:p>
      <w:pPr>
        <w:pStyle w:val="ListBullet"/>
      </w:pPr>
      <w:r>
        <w:t>Above INR 100,000: Business-unit head and Finance Controller</w:t>
      </w:r>
    </w:p>
    <w:p>
      <w:r>
        <w:t>Employees must not divide one expense into multiple claims to avoid a higher approval level.</w:t>
      </w:r>
    </w:p>
    <w:p>
      <w:pPr>
        <w:pStyle w:val="Heading2"/>
      </w:pPr>
      <w:r>
        <w:t>6. Non-Reimbursable Expenses</w:t>
      </w:r>
    </w:p>
    <w:p>
      <w:pPr>
        <w:pStyle w:val="ListBullet"/>
      </w:pPr>
      <w:r>
        <w:t>Personal purchases</w:t>
      </w:r>
    </w:p>
    <w:p>
      <w:pPr>
        <w:pStyle w:val="ListBullet"/>
      </w:pPr>
      <w:r>
        <w:t>Traffic or parking penalties</w:t>
      </w:r>
    </w:p>
    <w:p>
      <w:pPr>
        <w:pStyle w:val="ListBullet"/>
      </w:pPr>
      <w:r>
        <w:t>Alcohol without written business justification</w:t>
      </w:r>
    </w:p>
    <w:p>
      <w:pPr>
        <w:pStyle w:val="ListBullet"/>
      </w:pPr>
      <w:r>
        <w:t>Unapproved travel upgrades</w:t>
      </w:r>
    </w:p>
    <w:p>
      <w:pPr>
        <w:pStyle w:val="ListBullet"/>
      </w:pPr>
      <w:r>
        <w:t>Personal entertainment</w:t>
      </w:r>
    </w:p>
    <w:p>
      <w:pPr>
        <w:pStyle w:val="ListBullet"/>
      </w:pPr>
      <w:r>
        <w:t>Expenses for family members</w:t>
      </w:r>
    </w:p>
    <w:p>
      <w:pPr>
        <w:pStyle w:val="ListBullet"/>
      </w:pPr>
      <w:r>
        <w:t>Costs caused by avoidable cancellation or negligence</w:t>
      </w:r>
    </w:p>
    <w:p>
      <w:r>
        <w:t>Approved claims are normally paid through payroll or bank transfer within 10 working days after Finance completes its review.</w:t>
      </w:r>
    </w:p>
    <w:p>
      <w:r>
        <w:br w:type="page"/>
      </w:r>
    </w:p>
    <w:p>
      <w:pPr>
        <w:pStyle w:val="Subtitle"/>
        <w:jc w:val="left"/>
      </w:pPr>
      <w:r>
        <w:rPr>
          <w:b/>
          <w:color w:val="5B7C99"/>
          <w:sz w:val="16"/>
        </w:rPr>
        <w:t>POLICY 06</w:t>
      </w:r>
    </w:p>
    <w:p>
      <w:pPr>
        <w:pStyle w:val="Heading1"/>
      </w:pPr>
      <w:r>
        <w:t>Procurement and Vendor Management Policy</w:t>
      </w:r>
    </w:p>
    <w:p>
      <w:pPr>
        <w:pStyle w:val="Heading2"/>
      </w:pPr>
      <w:r>
        <w:t>1. Purpose</w:t>
      </w:r>
    </w:p>
    <w:p>
      <w:r>
        <w:t>This policy ensures that goods and services are purchased through a fair, transparent, competitive, and properly authorized process.</w:t>
      </w:r>
    </w:p>
    <w:p>
      <w:pPr>
        <w:pStyle w:val="Heading2"/>
      </w:pPr>
      <w:r>
        <w:t>2. Purchase Requests</w:t>
      </w:r>
    </w:p>
    <w:p>
      <w:pPr>
        <w:pStyle w:val="ListBullet"/>
      </w:pPr>
      <w:r>
        <w:t>Description of required goods or services</w:t>
      </w:r>
    </w:p>
    <w:p>
      <w:pPr>
        <w:pStyle w:val="ListBullet"/>
      </w:pPr>
      <w:r>
        <w:t>Business justification</w:t>
      </w:r>
    </w:p>
    <w:p>
      <w:pPr>
        <w:pStyle w:val="ListBullet"/>
      </w:pPr>
      <w:r>
        <w:t>Quantity and required delivery date</w:t>
      </w:r>
    </w:p>
    <w:p>
      <w:pPr>
        <w:pStyle w:val="ListBullet"/>
      </w:pPr>
      <w:r>
        <w:t>Estimated value</w:t>
      </w:r>
    </w:p>
    <w:p>
      <w:pPr>
        <w:pStyle w:val="ListBullet"/>
      </w:pPr>
      <w:r>
        <w:t>Cost center</w:t>
      </w:r>
    </w:p>
    <w:p>
      <w:pPr>
        <w:pStyle w:val="ListBullet"/>
      </w:pPr>
      <w:r>
        <w:t>Recommended supplier, if any</w:t>
      </w:r>
    </w:p>
    <w:p>
      <w:pPr>
        <w:pStyle w:val="ListBullet"/>
      </w:pPr>
      <w:r>
        <w:t>Evaluation criteria</w:t>
      </w:r>
    </w:p>
    <w:p>
      <w:r>
        <w:t>Employees must not commit the company to a purchase before a purchase order or authorized contract is issued.</w:t>
      </w:r>
    </w:p>
    <w:p>
      <w:pPr>
        <w:pStyle w:val="Heading2"/>
      </w:pPr>
      <w:r>
        <w:t>3. Quotation Requirements</w:t>
      </w:r>
    </w:p>
    <w:p>
      <w:pPr>
        <w:pStyle w:val="ListBullet"/>
      </w:pPr>
      <w:r>
        <w:t>Up to INR 25,000: One written quotation</w:t>
      </w:r>
    </w:p>
    <w:p>
      <w:pPr>
        <w:pStyle w:val="ListBullet"/>
      </w:pPr>
      <w:r>
        <w:t>INR 25,001 to INR 100,000: At least two quotations</w:t>
      </w:r>
    </w:p>
    <w:p>
      <w:pPr>
        <w:pStyle w:val="ListBullet"/>
      </w:pPr>
      <w:r>
        <w:t>Above INR 100,000: At least three competitive quotations</w:t>
      </w:r>
    </w:p>
    <w:p>
      <w:pPr>
        <w:pStyle w:val="ListBullet"/>
      </w:pPr>
      <w:r>
        <w:t>Above INR 1,000,000: Formal sourcing review by Procurement</w:t>
      </w:r>
    </w:p>
    <w:p>
      <w:r>
        <w:t>A single-source purchase is permitted only when a documented business, technical, continuity, licensing, or emergency reason is approved.</w:t>
      </w:r>
    </w:p>
    <w:p>
      <w:pPr>
        <w:pStyle w:val="Heading2"/>
      </w:pPr>
      <w:r>
        <w:t>4. Vendor Evaluation</w:t>
      </w:r>
    </w:p>
    <w:p>
      <w:pPr>
        <w:pStyle w:val="ListBullet"/>
      </w:pPr>
      <w:r>
        <w:t>Price and commercial terms</w:t>
      </w:r>
    </w:p>
    <w:p>
      <w:pPr>
        <w:pStyle w:val="ListBullet"/>
      </w:pPr>
      <w:r>
        <w:t>Product or service quality</w:t>
      </w:r>
    </w:p>
    <w:p>
      <w:pPr>
        <w:pStyle w:val="ListBullet"/>
      </w:pPr>
      <w:r>
        <w:t>Delivery capability</w:t>
      </w:r>
    </w:p>
    <w:p>
      <w:pPr>
        <w:pStyle w:val="ListBullet"/>
      </w:pPr>
      <w:r>
        <w:t>Technical competence</w:t>
      </w:r>
    </w:p>
    <w:p>
      <w:pPr>
        <w:pStyle w:val="ListBullet"/>
      </w:pPr>
      <w:r>
        <w:t>Information-security controls</w:t>
      </w:r>
    </w:p>
    <w:p>
      <w:pPr>
        <w:pStyle w:val="ListBullet"/>
      </w:pPr>
      <w:r>
        <w:t>Financial stability</w:t>
      </w:r>
    </w:p>
    <w:p>
      <w:pPr>
        <w:pStyle w:val="ListBullet"/>
      </w:pPr>
      <w:r>
        <w:t>Compliance history</w:t>
      </w:r>
    </w:p>
    <w:p>
      <w:pPr>
        <w:pStyle w:val="ListBullet"/>
      </w:pPr>
      <w:r>
        <w:t>Customer support</w:t>
      </w:r>
    </w:p>
    <w:p>
      <w:pPr>
        <w:pStyle w:val="ListBullet"/>
      </w:pPr>
      <w:r>
        <w:t>Sustainability practices</w:t>
      </w:r>
    </w:p>
    <w:p>
      <w:pPr>
        <w:pStyle w:val="Heading2"/>
      </w:pPr>
      <w:r>
        <w:t>5. Conflicts of Interest</w:t>
      </w:r>
    </w:p>
    <w:p>
      <w:r>
        <w:t>Employees involved in procurement must disclose personal, family, financial, or business relationships with a potential supplier. Gifts or benefits that may improperly influence a purchasing decision must not be accepted.</w:t>
      </w:r>
    </w:p>
    <w:p>
      <w:pPr>
        <w:pStyle w:val="Heading2"/>
      </w:pPr>
      <w:r>
        <w:t>6. Contract and Performance Review</w:t>
      </w:r>
    </w:p>
    <w:p>
      <w:r>
        <w:t>Procurement, Legal, Finance, and Information Security must review contracts when relevant. Strategic suppliers must undergo at least one documented performance review each year. Repeated delivery, quality, security, or compliance failures may result in corrective action, suspension, or removal from the approved-vendor list.</w:t>
      </w:r>
    </w:p>
    <w:p>
      <w:r>
        <w:br w:type="page"/>
      </w:r>
    </w:p>
    <w:p>
      <w:pPr>
        <w:pStyle w:val="Subtitle"/>
        <w:jc w:val="left"/>
      </w:pPr>
      <w:r>
        <w:rPr>
          <w:b/>
          <w:color w:val="5B7C99"/>
          <w:sz w:val="16"/>
        </w:rPr>
        <w:t>POLICY 07</w:t>
      </w:r>
    </w:p>
    <w:p>
      <w:pPr>
        <w:pStyle w:val="Heading1"/>
      </w:pPr>
      <w:r>
        <w:t>Workplace Conduct and Professional Behavior Policy</w:t>
      </w:r>
    </w:p>
    <w:p>
      <w:pPr>
        <w:pStyle w:val="Heading2"/>
      </w:pPr>
      <w:r>
        <w:t>1. Purpose</w:t>
      </w:r>
    </w:p>
    <w:p>
      <w:r>
        <w:t>The company is committed to a respectful, inclusive, safe, and professional workplace. All employees are expected to behave in a manner that supports trust, dignity, cooperation, and responsible business conduct.</w:t>
      </w:r>
    </w:p>
    <w:p>
      <w:pPr>
        <w:pStyle w:val="Heading2"/>
      </w:pPr>
      <w:r>
        <w:t>2. Expected Conduct</w:t>
      </w:r>
    </w:p>
    <w:p>
      <w:pPr>
        <w:pStyle w:val="ListBullet"/>
      </w:pPr>
      <w:r>
        <w:t>Communicate respectfully.</w:t>
      </w:r>
    </w:p>
    <w:p>
      <w:pPr>
        <w:pStyle w:val="ListBullet"/>
      </w:pPr>
      <w:r>
        <w:t>Perform duties honestly and responsibly.</w:t>
      </w:r>
    </w:p>
    <w:p>
      <w:pPr>
        <w:pStyle w:val="ListBullet"/>
      </w:pPr>
      <w:r>
        <w:t>Protect confidential information.</w:t>
      </w:r>
    </w:p>
    <w:p>
      <w:pPr>
        <w:pStyle w:val="ListBullet"/>
      </w:pPr>
      <w:r>
        <w:t>Follow reasonable and lawful instructions.</w:t>
      </w:r>
    </w:p>
    <w:p>
      <w:pPr>
        <w:pStyle w:val="ListBullet"/>
      </w:pPr>
      <w:r>
        <w:t>Avoid disruptive or intimidating behavior.</w:t>
      </w:r>
    </w:p>
    <w:p>
      <w:pPr>
        <w:pStyle w:val="ListBullet"/>
      </w:pPr>
      <w:r>
        <w:t>Disclose conflicts of interest.</w:t>
      </w:r>
    </w:p>
    <w:p>
      <w:pPr>
        <w:pStyle w:val="ListBullet"/>
      </w:pPr>
      <w:r>
        <w:t>Use company property responsibly.</w:t>
      </w:r>
    </w:p>
    <w:p>
      <w:pPr>
        <w:pStyle w:val="ListBullet"/>
      </w:pPr>
      <w:r>
        <w:t>Cooperate with authorized investigations.</w:t>
      </w:r>
    </w:p>
    <w:p>
      <w:pPr>
        <w:pStyle w:val="Heading2"/>
      </w:pPr>
      <w:r>
        <w:t>3. Workplace Communication</w:t>
      </w:r>
    </w:p>
    <w:p>
      <w:r>
        <w:t>Differences of opinion should be discussed professionally and based on facts. Employees should avoid insulting language, personal attacks, threatening behavior, deliberate exclusion, or repeated disruption of meetings. Managers have a responsibility to address inappropriate conduct promptly and fairly.</w:t>
      </w:r>
    </w:p>
    <w:p>
      <w:pPr>
        <w:pStyle w:val="Heading2"/>
      </w:pPr>
      <w:r>
        <w:t>4. Confidentiality</w:t>
      </w:r>
    </w:p>
    <w:p>
      <w:r>
        <w:t>Employees may access confidential information only when necessary for their work. Confidential information must not be discussed in public areas, shared with unauthorized individuals, or used for personal benefit. Confidentiality obligations continue after employment ends.</w:t>
      </w:r>
    </w:p>
    <w:p>
      <w:pPr>
        <w:pStyle w:val="Heading2"/>
      </w:pPr>
      <w:r>
        <w:t>5. Reporting Concerns</w:t>
      </w:r>
    </w:p>
    <w:p>
      <w:pPr>
        <w:pStyle w:val="ListBullet"/>
      </w:pPr>
      <w:r>
        <w:t>Reporting manager</w:t>
      </w:r>
    </w:p>
    <w:p>
      <w:pPr>
        <w:pStyle w:val="ListBullet"/>
      </w:pPr>
      <w:r>
        <w:t>Another manager</w:t>
      </w:r>
    </w:p>
    <w:p>
      <w:pPr>
        <w:pStyle w:val="ListBullet"/>
      </w:pPr>
      <w:r>
        <w:t>Human Resources</w:t>
      </w:r>
    </w:p>
    <w:p>
      <w:pPr>
        <w:pStyle w:val="ListBullet"/>
      </w:pPr>
      <w:r>
        <w:t>Ethics and Compliance Officer</w:t>
      </w:r>
    </w:p>
    <w:p>
      <w:pPr>
        <w:pStyle w:val="ListBullet"/>
      </w:pPr>
      <w:r>
        <w:t>Confidential reporting channel</w:t>
      </w:r>
    </w:p>
    <w:p>
      <w:r>
        <w:t>Reports should include available facts, relevant dates, individuals involved, supporting documents, and the impact of the concern.</w:t>
      </w:r>
    </w:p>
    <w:p>
      <w:pPr>
        <w:pStyle w:val="Heading2"/>
      </w:pPr>
      <w:r>
        <w:t>6. Non-Retaliation</w:t>
      </w:r>
    </w:p>
    <w:p>
      <w:r>
        <w:t>Retaliation against an employee who raises a concern honestly or participates in an investigation is prohibited. Knowingly submitting false information may itself be treated as misconduct. Corrective action will depend on the seriousness, frequency, impact, and circumstances of the conduct.</w:t>
      </w:r>
    </w:p>
    <w:p>
      <w:r>
        <w:br w:type="page"/>
      </w:r>
    </w:p>
    <w:p>
      <w:pPr>
        <w:pStyle w:val="Subtitle"/>
        <w:jc w:val="left"/>
      </w:pPr>
      <w:r>
        <w:rPr>
          <w:b/>
          <w:color w:val="5B7C99"/>
          <w:sz w:val="16"/>
        </w:rPr>
        <w:t>POLICY 08</w:t>
      </w:r>
    </w:p>
    <w:p>
      <w:pPr>
        <w:pStyle w:val="Heading1"/>
      </w:pPr>
      <w:r>
        <w:t>IT Equipment and Asset Usage Policy</w:t>
      </w:r>
    </w:p>
    <w:p>
      <w:pPr>
        <w:pStyle w:val="Heading2"/>
      </w:pPr>
      <w:r>
        <w:t>1. Purpose</w:t>
      </w:r>
    </w:p>
    <w:p>
      <w:r>
        <w:t>This policy establishes requirements for the allocation, use, protection, maintenance, transfer, and return of company technology assets.</w:t>
      </w:r>
    </w:p>
    <w:p>
      <w:pPr>
        <w:pStyle w:val="Heading2"/>
      </w:pPr>
      <w:r>
        <w:t>2. Asset Allocation</w:t>
      </w:r>
    </w:p>
    <w:p>
      <w:pPr>
        <w:pStyle w:val="ListBullet"/>
      </w:pPr>
      <w:r>
        <w:t>Laptop or desktop computer</w:t>
      </w:r>
    </w:p>
    <w:p>
      <w:pPr>
        <w:pStyle w:val="ListBullet"/>
      </w:pPr>
      <w:r>
        <w:t>Monitor</w:t>
      </w:r>
    </w:p>
    <w:p>
      <w:pPr>
        <w:pStyle w:val="ListBullet"/>
      </w:pPr>
      <w:r>
        <w:t>Keyboard and mouse</w:t>
      </w:r>
    </w:p>
    <w:p>
      <w:pPr>
        <w:pStyle w:val="ListBullet"/>
      </w:pPr>
      <w:r>
        <w:t>Mobile phone</w:t>
      </w:r>
    </w:p>
    <w:p>
      <w:pPr>
        <w:pStyle w:val="ListBullet"/>
      </w:pPr>
      <w:r>
        <w:t>Headset</w:t>
      </w:r>
    </w:p>
    <w:p>
      <w:pPr>
        <w:pStyle w:val="ListBullet"/>
      </w:pPr>
      <w:r>
        <w:t>Security token</w:t>
      </w:r>
    </w:p>
    <w:p>
      <w:pPr>
        <w:pStyle w:val="ListBullet"/>
      </w:pPr>
      <w:r>
        <w:t>Licensed software</w:t>
      </w:r>
    </w:p>
    <w:p>
      <w:r>
        <w:t>Every assigned asset must be recorded against the employee’s name and asset number.</w:t>
      </w:r>
    </w:p>
    <w:p>
      <w:pPr>
        <w:pStyle w:val="Heading2"/>
      </w:pPr>
      <w:r>
        <w:t>3. Acceptable Use</w:t>
      </w:r>
    </w:p>
    <w:p>
      <w:r>
        <w:t>Company assets are intended primarily for authorized business use. Limited personal use may be permitted when it is lawful, reasonable, does not interfere with work, and does not create security or reputational risk.</w:t>
      </w:r>
    </w:p>
    <w:p>
      <w:pPr>
        <w:pStyle w:val="ListBullet"/>
      </w:pPr>
      <w:r>
        <w:t>Do not install unauthorized software.</w:t>
      </w:r>
    </w:p>
    <w:p>
      <w:pPr>
        <w:pStyle w:val="ListBullet"/>
      </w:pPr>
      <w:r>
        <w:t>Do not disable antivirus or security controls.</w:t>
      </w:r>
    </w:p>
    <w:p>
      <w:pPr>
        <w:pStyle w:val="ListBullet"/>
      </w:pPr>
      <w:r>
        <w:t>Do not share equipment with unauthorized individuals.</w:t>
      </w:r>
    </w:p>
    <w:p>
      <w:pPr>
        <w:pStyle w:val="ListBullet"/>
      </w:pPr>
      <w:r>
        <w:t>Do not connect unknown storage devices.</w:t>
      </w:r>
    </w:p>
    <w:p>
      <w:pPr>
        <w:pStyle w:val="ListBullet"/>
      </w:pPr>
      <w:r>
        <w:t>Do not use company equipment for unlawful purposes.</w:t>
      </w:r>
    </w:p>
    <w:p>
      <w:pPr>
        <w:pStyle w:val="ListBullet"/>
      </w:pPr>
      <w:r>
        <w:t>Do not attempt to gain unauthorized system access.</w:t>
      </w:r>
    </w:p>
    <w:p>
      <w:pPr>
        <w:pStyle w:val="Heading2"/>
      </w:pPr>
      <w:r>
        <w:t>4. Damage, Loss, or Theft</w:t>
      </w:r>
    </w:p>
    <w:p>
      <w:r>
        <w:t>Damage, loss, or theft must be reported to the IT Service Desk and reporting manager within one hour of discovery. Theft should also be reported to local authorities when instructed by the company. Employees must provide an accurate description and cooperate with recovery and security procedures.</w:t>
      </w:r>
    </w:p>
    <w:p>
      <w:pPr>
        <w:pStyle w:val="Heading2"/>
      </w:pPr>
      <w:r>
        <w:t>5. Equipment Maintenance</w:t>
      </w:r>
    </w:p>
    <w:p>
      <w:r>
        <w:t>Only authorized IT personnel or approved service providers may repair company equipment. Employees must make devices available for scheduled maintenance, security updates, or asset audits.</w:t>
      </w:r>
    </w:p>
    <w:p>
      <w:pPr>
        <w:pStyle w:val="Heading2"/>
      </w:pPr>
      <w:r>
        <w:t>6. Return of Assets</w:t>
      </w:r>
    </w:p>
    <w:p>
      <w:r>
        <w:t>All equipment, accessories, security tokens, documents, and access cards must be returned by the employee’s final working day or within another formally approved period. Unreturned assets may be handled according to the employment agreement, company procedure, and applicable law.</w:t>
      </w:r>
    </w:p>
    <w:p>
      <w:r>
        <w:br w:type="page"/>
      </w:r>
    </w:p>
    <w:p>
      <w:pPr>
        <w:pStyle w:val="Subtitle"/>
        <w:jc w:val="left"/>
      </w:pPr>
      <w:r>
        <w:rPr>
          <w:b/>
          <w:color w:val="5B7C99"/>
          <w:sz w:val="16"/>
        </w:rPr>
        <w:t>POLICY 09</w:t>
      </w:r>
    </w:p>
    <w:p>
      <w:pPr>
        <w:pStyle w:val="Heading1"/>
      </w:pPr>
      <w:r>
        <w:t>Customer Complaint Management Procedure</w:t>
      </w:r>
    </w:p>
    <w:p>
      <w:pPr>
        <w:pStyle w:val="Heading2"/>
      </w:pPr>
      <w:r>
        <w:t>1. Purpose</w:t>
      </w:r>
    </w:p>
    <w:p>
      <w:r>
        <w:t>This procedure ensures that customer complaints are acknowledged, investigated, escalated, resolved, recorded, and analyzed consistently.</w:t>
      </w:r>
    </w:p>
    <w:p>
      <w:pPr>
        <w:pStyle w:val="Heading2"/>
      </w:pPr>
      <w:r>
        <w:t>2. Complaint Priority Levels</w:t>
      </w:r>
    </w:p>
    <w:p>
      <w:r>
        <w:rPr>
          <w:b/>
        </w:rPr>
        <w:t xml:space="preserve">Critical: </w:t>
      </w:r>
      <w:r>
        <w:t>Safety, suspected data exposure, major service unavailability, regulatory risk, or significant financial impact. Acknowledge within 30 minutes, escalate immediately, and update every 2 hours.</w:t>
      </w:r>
    </w:p>
    <w:p>
      <w:r>
        <w:rPr>
          <w:b/>
        </w:rPr>
        <w:t xml:space="preserve">High: </w:t>
      </w:r>
      <w:r>
        <w:t>Severe service degradation or a major business function that cannot operate. Acknowledge within 1 hour, escalate within 2 hours, and update every 4 hours.</w:t>
      </w:r>
    </w:p>
    <w:p>
      <w:r>
        <w:rPr>
          <w:b/>
        </w:rPr>
        <w:t xml:space="preserve">Medium: </w:t>
      </w:r>
      <w:r>
        <w:t>A service problem with a workaround available. Acknowledge within 4 business hours and update once per business day.</w:t>
      </w:r>
    </w:p>
    <w:p>
      <w:r>
        <w:rPr>
          <w:b/>
        </w:rPr>
        <w:t xml:space="preserve">Low: </w:t>
      </w:r>
      <w:r>
        <w:t>General questions, minor inconvenience, or enhancement requests. Acknowledge within 1 business day and update every 3 business days.</w:t>
      </w:r>
    </w:p>
    <w:p>
      <w:pPr>
        <w:pStyle w:val="Heading2"/>
      </w:pPr>
      <w:r>
        <w:t>3. Complaint-Handling Procedure</w:t>
      </w:r>
    </w:p>
    <w:p>
      <w:pPr>
        <w:pStyle w:val="ListNumber"/>
      </w:pPr>
      <w:r>
        <w:t>Record the complaint in the case-management system.</w:t>
      </w:r>
    </w:p>
    <w:p>
      <w:pPr>
        <w:pStyle w:val="ListNumber"/>
      </w:pPr>
      <w:r>
        <w:t>Confirm the customer’s contact details and expected outcome.</w:t>
      </w:r>
    </w:p>
    <w:p>
      <w:pPr>
        <w:pStyle w:val="ListNumber"/>
      </w:pPr>
      <w:r>
        <w:t>Assign a priority based on impact and urgency.</w:t>
      </w:r>
    </w:p>
    <w:p>
      <w:pPr>
        <w:pStyle w:val="ListNumber"/>
      </w:pPr>
      <w:r>
        <w:t>Acknowledge the complaint.</w:t>
      </w:r>
    </w:p>
    <w:p>
      <w:pPr>
        <w:pStyle w:val="ListNumber"/>
      </w:pPr>
      <w:r>
        <w:t>Assign an owner and supporting team.</w:t>
      </w:r>
    </w:p>
    <w:p>
      <w:pPr>
        <w:pStyle w:val="ListNumber"/>
      </w:pPr>
      <w:r>
        <w:t>Investigate the cause.</w:t>
      </w:r>
    </w:p>
    <w:p>
      <w:pPr>
        <w:pStyle w:val="ListNumber"/>
      </w:pPr>
      <w:r>
        <w:t>Communicate progress.</w:t>
      </w:r>
    </w:p>
    <w:p>
      <w:pPr>
        <w:pStyle w:val="ListNumber"/>
      </w:pPr>
      <w:r>
        <w:t>Confirm the resolution with the customer.</w:t>
      </w:r>
    </w:p>
    <w:p>
      <w:pPr>
        <w:pStyle w:val="ListNumber"/>
      </w:pPr>
      <w:r>
        <w:t>Record the final action and closure reason.</w:t>
      </w:r>
    </w:p>
    <w:p>
      <w:pPr>
        <w:pStyle w:val="ListNumber"/>
      </w:pPr>
      <w:r>
        <w:t>Identify any corrective or preventive action.</w:t>
      </w:r>
    </w:p>
    <w:p>
      <w:pPr>
        <w:pStyle w:val="Heading2"/>
      </w:pPr>
      <w:r>
        <w:t>4. Escalation</w:t>
      </w:r>
    </w:p>
    <w:p>
      <w:r>
        <w:t>Critical complaints must be escalated to the Support Manager, service owner, Information Security team, and other responsible stakeholders as appropriate. A complaint must also be escalated when the response target is likely to be missed or when the customer rejects the proposed resolution.</w:t>
      </w:r>
    </w:p>
    <w:p>
      <w:pPr>
        <w:pStyle w:val="Heading2"/>
      </w:pPr>
      <w:r>
        <w:t>5. Closure and Review</w:t>
      </w:r>
    </w:p>
    <w:p>
      <w:r>
        <w:t>A case should be closed only after the resolution is documented and communicated. Recurring complaints must be included in monthly trend analysis and may require a formal root-cause review.</w:t>
      </w:r>
    </w:p>
    <w:p>
      <w:r>
        <w:br w:type="page"/>
      </w:r>
    </w:p>
    <w:p>
      <w:pPr>
        <w:pStyle w:val="Subtitle"/>
        <w:jc w:val="left"/>
      </w:pPr>
      <w:r>
        <w:rPr>
          <w:b/>
          <w:color w:val="5B7C99"/>
          <w:sz w:val="16"/>
        </w:rPr>
        <w:t>POLICY 10</w:t>
      </w:r>
    </w:p>
    <w:p>
      <w:pPr>
        <w:pStyle w:val="Heading1"/>
      </w:pPr>
      <w:r>
        <w:t>Document Retention and Records Management Policy</w:t>
      </w:r>
    </w:p>
    <w:p>
      <w:pPr>
        <w:pStyle w:val="Heading2"/>
      </w:pPr>
      <w:r>
        <w:t>1. Purpose</w:t>
      </w:r>
    </w:p>
    <w:p>
      <w:r>
        <w:t>This policy defines how company records must be classified, stored, retained, protected, retrieved, archived, and securely destroyed.</w:t>
      </w:r>
    </w:p>
    <w:p>
      <w:pPr>
        <w:pStyle w:val="Heading2"/>
      </w:pPr>
      <w:r>
        <w:t>2. Record Categories and Retention Periods</w:t>
      </w:r>
    </w:p>
    <w:p>
      <w:pPr>
        <w:pStyle w:val="ListBullet"/>
      </w:pPr>
      <w:r>
        <w:t>Financial statements and accounting records: 8 years</w:t>
      </w:r>
    </w:p>
    <w:p>
      <w:pPr>
        <w:pStyle w:val="ListBullet"/>
      </w:pPr>
      <w:r>
        <w:t>Tax records: 8 years</w:t>
      </w:r>
    </w:p>
    <w:p>
      <w:pPr>
        <w:pStyle w:val="ListBullet"/>
      </w:pPr>
      <w:r>
        <w:t>Employee payroll records: 8 years</w:t>
      </w:r>
    </w:p>
    <w:p>
      <w:pPr>
        <w:pStyle w:val="ListBullet"/>
      </w:pPr>
      <w:r>
        <w:t>Employment contracts: Employment period plus 7 years</w:t>
      </w:r>
    </w:p>
    <w:p>
      <w:pPr>
        <w:pStyle w:val="ListBullet"/>
      </w:pPr>
      <w:r>
        <w:t>Customer contracts: Contract period plus 7 years</w:t>
      </w:r>
    </w:p>
    <w:p>
      <w:pPr>
        <w:pStyle w:val="ListBullet"/>
      </w:pPr>
      <w:r>
        <w:t>Supplier contracts: Contract period plus 7 years</w:t>
      </w:r>
    </w:p>
    <w:p>
      <w:pPr>
        <w:pStyle w:val="ListBullet"/>
      </w:pPr>
      <w:r>
        <w:t>Security incident records: 7 years</w:t>
      </w:r>
    </w:p>
    <w:p>
      <w:pPr>
        <w:pStyle w:val="ListBullet"/>
      </w:pPr>
      <w:r>
        <w:t>General operational reports: 5 years</w:t>
      </w:r>
    </w:p>
    <w:p>
      <w:pPr>
        <w:pStyle w:val="ListBullet"/>
      </w:pPr>
      <w:r>
        <w:t>Routine correspondence: 2 years</w:t>
      </w:r>
    </w:p>
    <w:p>
      <w:pPr>
        <w:pStyle w:val="ListBullet"/>
      </w:pPr>
      <w:r>
        <w:t>Approved corporate policies: Validity period plus 7 years</w:t>
      </w:r>
    </w:p>
    <w:p>
      <w:pPr>
        <w:pStyle w:val="Heading2"/>
      </w:pPr>
      <w:r>
        <w:t>3. Storage Requirements</w:t>
      </w:r>
    </w:p>
    <w:p>
      <w:r>
        <w:t>Official records must be stored in approved systems. Employees must not treat personal email accounts, local downloads, chat messages, or removable storage devices as permanent record repositories. Record owners must ensure documents are accurate, accessible, appropriately classified, and protected against unauthorized changes.</w:t>
      </w:r>
    </w:p>
    <w:p>
      <w:pPr>
        <w:pStyle w:val="Heading2"/>
      </w:pPr>
      <w:r>
        <w:t>4. Legal Hold</w:t>
      </w:r>
    </w:p>
    <w:p>
      <w:r>
        <w:t>Normal deletion must stop when Legal issues a legal-hold notice. Employees receiving such a notice must preserve all relevant documents, messages, files, and records until Legal confirms that the hold has been released.</w:t>
      </w:r>
    </w:p>
    <w:p>
      <w:pPr>
        <w:pStyle w:val="Heading2"/>
      </w:pPr>
      <w:r>
        <w:t>5. Secure Disposal</w:t>
      </w:r>
    </w:p>
    <w:p>
      <w:r>
        <w:t>Records that have reached the end of their retention period must be destroyed securely. Paper records containing confidential information must be shredded through an approved service. Electronic records must be deleted using an approved method.</w:t>
      </w:r>
    </w:p>
    <w:p>
      <w:pPr>
        <w:pStyle w:val="Heading2"/>
      </w:pPr>
      <w:r>
        <w:t>6. Roles and Responsibilities</w:t>
      </w:r>
    </w:p>
    <w:p>
      <w:pPr>
        <w:pStyle w:val="ListBullet"/>
      </w:pPr>
      <w:r>
        <w:t>Employees: Store business records in approved locations.</w:t>
      </w:r>
    </w:p>
    <w:p>
      <w:pPr>
        <w:pStyle w:val="ListBullet"/>
      </w:pPr>
      <w:r>
        <w:t>Managers: Ensure their teams follow retention requirements.</w:t>
      </w:r>
    </w:p>
    <w:p>
      <w:pPr>
        <w:pStyle w:val="ListBullet"/>
      </w:pPr>
      <w:r>
        <w:t>IT: Maintain secure systems, backup controls, and deletion capabilities.</w:t>
      </w:r>
    </w:p>
    <w:p>
      <w:pPr>
        <w:pStyle w:val="ListBullet"/>
      </w:pPr>
      <w:r>
        <w:t>Legal and Compliance: Issue preservation instructions and interpret regulatory requirements.</w:t>
      </w:r>
    </w:p>
    <w:p>
      <w:pPr>
        <w:pStyle w:val="ListBullet"/>
      </w:pPr>
      <w:r>
        <w:t>Records Owners: Review records before archival or disposal.</w:t>
      </w:r>
    </w:p>
    <w:p>
      <w:r>
        <w:t>Exceptions must be documented and approved by the Legal and Compliance department.</w:t>
      </w:r>
    </w:p>
    <w:p>
      <w:pPr>
        <w:pStyle w:val="Heading2"/>
      </w:pPr>
      <w:r>
        <w:t>Handbook Acknowledgement</w:t>
      </w:r>
    </w:p>
    <w:p>
      <w:r>
        <w:t>All employees are expected to read, understand, and follow the policies applicable to their work. Questions about interpretation should be directed to the policy owner listed in the official policy repository.</w:t>
      </w:r>
    </w:p>
    <w:p>
      <w:r>
        <w:t>Failure to follow company policy may result in coaching, additional training, restricted access, corrective action, or disciplinary review, depending on the nature and seriousness of the issue.</w:t>
      </w:r>
    </w:p>
    <w:p>
      <w:r>
        <w:t>The company reserves the right to update these policies to reflect operational, legal, regulatory, security, or organizational requirements. Employees will be notified when material changes are published.</w:t>
      </w:r>
    </w:p>
    <w:sectPr w:rsidR="00FC693F" w:rsidRPr="0006063C" w:rsidSect="00034616">
      <w:headerReference w:type="default" r:id="rId9"/>
      <w:footerReference w:type="default" r:id="rId10"/>
      <w:pgSz w:w="11909" w:h="16834"/>
      <w:pgMar w:top="691"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58B"/>
        <w:sz w:val="14"/>
      </w:rPr>
      <w:t xml:space="preserve">Internal Use  |  Version 1.0  |  Effective 1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65758B"/>
        <w:sz w:val="14"/>
      </w:rPr>
      <w:t>NORTHSTAR BUSINESS SERVICES PVT. LTD.  |  COMPANY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ptos Display" w:hAnsi="Aptos Display"/>
      <w:b/>
      <w:bCs/>
      <w:color w:val="244A7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80"/>
      <w:contextualSpacing/>
    </w:pPr>
    <w:rPr>
      <w:rFonts w:asciiTheme="majorHAnsi" w:eastAsiaTheme="majorEastAsia" w:hAnsiTheme="majorHAnsi" w:cstheme="majorBidi" w:ascii="Aptos Display" w:hAnsi="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ind w:left="288" w:hanging="173"/>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ind w:left="317" w:hanging="202"/>
      <w:contextualSpacing/>
    </w:pPr>
    <w:rPr>
      <w:rFonts w:ascii="Aptos" w:hAnsi="Apto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Company Policies and Procedures Handbook</dc:title>
  <dc:subject>Ten-page internal policy handbook</dc:subject>
  <dc:creator>Vinothkumar Sampath</dc:creator>
  <keywords>company policies, procedures, handbook</keywords>
  <dc:description>generated by python-docx</dc:description>
  <lastModifiedBy>Vinothkumar Sampath</lastModifiedBy>
  <revision>1</revision>
  <dcterms:created xsi:type="dcterms:W3CDTF">2026-08-28T13:19:46.2025648Z</dcterms:created>
  <dcterms:modified xsi:type="dcterms:W3CDTF">2026-08-28T13:19:46.2025648Z</dcterms:modified>
  <category/>
</coreProperties>
</file>