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0C7B" w14:textId="77777777" w:rsidR="00980BED" w:rsidRPr="00980BED" w:rsidRDefault="00980BED" w:rsidP="00980BED">
      <w:pPr>
        <w:pStyle w:val="Title"/>
        <w:jc w:val="center"/>
      </w:pPr>
      <w:r w:rsidRPr="00980BED">
        <w:t>FINANCIAL REPORT</w:t>
      </w:r>
    </w:p>
    <w:p w14:paraId="21405D78" w14:textId="77777777" w:rsidR="008803BE" w:rsidRDefault="008803BE" w:rsidP="00980BED">
      <w:pPr>
        <w:rPr>
          <w:b/>
          <w:bCs/>
        </w:rPr>
      </w:pPr>
    </w:p>
    <w:p w14:paraId="3AC4BB97" w14:textId="3D4E7F0A" w:rsidR="00980BED" w:rsidRPr="00980BED" w:rsidRDefault="00980BED" w:rsidP="008803BE">
      <w:pPr>
        <w:jc w:val="center"/>
        <w:rPr>
          <w:rStyle w:val="BookTitle"/>
        </w:rPr>
      </w:pPr>
      <w:r w:rsidRPr="00980BED">
        <w:rPr>
          <w:rStyle w:val="BookTitle"/>
        </w:rPr>
        <w:t>For the Year Ended 31 December 2025</w:t>
      </w:r>
    </w:p>
    <w:p w14:paraId="285D5A30" w14:textId="77777777" w:rsidR="00980BED" w:rsidRPr="00980BED" w:rsidRDefault="00980BED" w:rsidP="00980BED">
      <w:pPr>
        <w:pStyle w:val="Subtitle"/>
      </w:pPr>
      <w:r w:rsidRPr="00980BED">
        <w:t>1. Overview</w:t>
      </w:r>
    </w:p>
    <w:p w14:paraId="20599E1C" w14:textId="77777777" w:rsidR="00980BED" w:rsidRPr="00980BED" w:rsidRDefault="00980BED" w:rsidP="00980BED"/>
    <w:p w14:paraId="29135444" w14:textId="77777777" w:rsidR="00980BED" w:rsidRPr="00980BED" w:rsidRDefault="00980BED" w:rsidP="00980BED">
      <w:r w:rsidRPr="00980BED">
        <w:t>Asteron Technologies Private Limited recorded robust financial performance during FY 2025, supported by increased demand for digital transformation and managed IT services.</w:t>
      </w:r>
    </w:p>
    <w:p w14:paraId="6594821A" w14:textId="77777777" w:rsidR="00980BED" w:rsidRPr="00980BED" w:rsidRDefault="00980BED" w:rsidP="00980BED"/>
    <w:p w14:paraId="0D5011A4" w14:textId="77777777" w:rsidR="00980BED" w:rsidRPr="00980BED" w:rsidRDefault="00980BED" w:rsidP="00980BED">
      <w:pPr>
        <w:pStyle w:val="Subtitle"/>
      </w:pPr>
      <w:r w:rsidRPr="00980BED">
        <w:t>2. Statement of Profit and Loss (INR Crores)</w:t>
      </w:r>
    </w:p>
    <w:p w14:paraId="53C16D29" w14:textId="77777777" w:rsidR="00980BED" w:rsidRPr="00980BED" w:rsidRDefault="00980BED" w:rsidP="00980BED"/>
    <w:p w14:paraId="3E859AA8" w14:textId="77777777" w:rsidR="00980BED" w:rsidRPr="00980BED" w:rsidRDefault="00980BED" w:rsidP="00980BED">
      <w:r w:rsidRPr="00980BED">
        <w:t>Total Revenue:</w:t>
      </w:r>
    </w:p>
    <w:p w14:paraId="268AF3ED" w14:textId="77777777" w:rsidR="00980BED" w:rsidRPr="00980BED" w:rsidRDefault="00980BED" w:rsidP="00980BED">
      <w:r w:rsidRPr="00980BED">
        <w:t>FY 2025 – 482.75</w:t>
      </w:r>
    </w:p>
    <w:p w14:paraId="3BBC9D38" w14:textId="77777777" w:rsidR="00980BED" w:rsidRPr="00980BED" w:rsidRDefault="00980BED" w:rsidP="00980BED">
      <w:r w:rsidRPr="00980BED">
        <w:t>FY 2024 – 407.01</w:t>
      </w:r>
    </w:p>
    <w:p w14:paraId="4DE84A2E" w14:textId="77777777" w:rsidR="00980BED" w:rsidRPr="00980BED" w:rsidRDefault="00980BED" w:rsidP="00980BED"/>
    <w:p w14:paraId="6372A292" w14:textId="77777777" w:rsidR="00980BED" w:rsidRPr="00980BED" w:rsidRDefault="00980BED" w:rsidP="00980BED">
      <w:r w:rsidRPr="00980BED">
        <w:t>Operating Expenses:</w:t>
      </w:r>
    </w:p>
    <w:p w14:paraId="3FD3AF67" w14:textId="77777777" w:rsidR="00980BED" w:rsidRPr="00980BED" w:rsidRDefault="00980BED" w:rsidP="00980BED">
      <w:r w:rsidRPr="00980BED">
        <w:t>FY 2025 – 368.40</w:t>
      </w:r>
    </w:p>
    <w:p w14:paraId="36FCDFA1" w14:textId="77777777" w:rsidR="00980BED" w:rsidRPr="00980BED" w:rsidRDefault="00980BED" w:rsidP="00980BED">
      <w:r w:rsidRPr="00980BED">
        <w:t>FY 2024 – 321.90</w:t>
      </w:r>
    </w:p>
    <w:p w14:paraId="1E1BFBD5" w14:textId="77777777" w:rsidR="00980BED" w:rsidRPr="00980BED" w:rsidRDefault="00980BED" w:rsidP="00980BED"/>
    <w:p w14:paraId="3298D3C6" w14:textId="77777777" w:rsidR="00980BED" w:rsidRPr="00980BED" w:rsidRDefault="00980BED" w:rsidP="00980BED">
      <w:r w:rsidRPr="00980BED">
        <w:t>EBITDA:</w:t>
      </w:r>
    </w:p>
    <w:p w14:paraId="2C013204" w14:textId="77777777" w:rsidR="00980BED" w:rsidRPr="00980BED" w:rsidRDefault="00980BED" w:rsidP="00980BED">
      <w:r w:rsidRPr="00980BED">
        <w:t>FY 2025 – 114.35</w:t>
      </w:r>
    </w:p>
    <w:p w14:paraId="44E88A2F" w14:textId="77777777" w:rsidR="00980BED" w:rsidRPr="00980BED" w:rsidRDefault="00980BED" w:rsidP="00980BED">
      <w:r w:rsidRPr="00980BED">
        <w:t>FY 2024 – 85.11</w:t>
      </w:r>
    </w:p>
    <w:p w14:paraId="280A18E6" w14:textId="77777777" w:rsidR="00980BED" w:rsidRPr="00980BED" w:rsidRDefault="00980BED" w:rsidP="00980BED"/>
    <w:p w14:paraId="2669F1A5" w14:textId="77777777" w:rsidR="00980BED" w:rsidRPr="00980BED" w:rsidRDefault="00980BED" w:rsidP="00980BED">
      <w:r w:rsidRPr="00980BED">
        <w:t>Net Profit After Tax:</w:t>
      </w:r>
    </w:p>
    <w:p w14:paraId="4968025C" w14:textId="77777777" w:rsidR="00980BED" w:rsidRPr="00980BED" w:rsidRDefault="00980BED" w:rsidP="00980BED">
      <w:r w:rsidRPr="00980BED">
        <w:t>FY 2025 – 68.92</w:t>
      </w:r>
    </w:p>
    <w:p w14:paraId="362F5ED6" w14:textId="77777777" w:rsidR="00980BED" w:rsidRPr="00980BED" w:rsidRDefault="00980BED" w:rsidP="00980BED">
      <w:r w:rsidRPr="00980BED">
        <w:t>FY 2024 – 52.47</w:t>
      </w:r>
    </w:p>
    <w:p w14:paraId="5256024C" w14:textId="77777777" w:rsidR="00980BED" w:rsidRPr="00980BED" w:rsidRDefault="00980BED" w:rsidP="00980BED"/>
    <w:p w14:paraId="48A2ED2F" w14:textId="77777777" w:rsidR="00980BED" w:rsidRPr="00980BED" w:rsidRDefault="00980BED" w:rsidP="00980BED">
      <w:pPr>
        <w:pStyle w:val="Subtitle"/>
      </w:pPr>
      <w:r w:rsidRPr="00980BED">
        <w:t>3. Balance Sheet Summary (As of 31 December 2025)</w:t>
      </w:r>
    </w:p>
    <w:p w14:paraId="2D71FA2B" w14:textId="77777777" w:rsidR="00980BED" w:rsidRPr="00980BED" w:rsidRDefault="00980BED" w:rsidP="00980BED"/>
    <w:p w14:paraId="08971226" w14:textId="77777777" w:rsidR="00980BED" w:rsidRPr="00980BED" w:rsidRDefault="00980BED" w:rsidP="00980BED">
      <w:r w:rsidRPr="00980BED">
        <w:t xml:space="preserve">Total Assets – INR 612.80 Crores  </w:t>
      </w:r>
    </w:p>
    <w:p w14:paraId="269FFD12" w14:textId="77777777" w:rsidR="00980BED" w:rsidRPr="00980BED" w:rsidRDefault="00980BED" w:rsidP="00980BED">
      <w:r w:rsidRPr="00980BED">
        <w:t xml:space="preserve">Total Liabilities – INR 254.60 Crores  </w:t>
      </w:r>
    </w:p>
    <w:p w14:paraId="62BC5708" w14:textId="77777777" w:rsidR="00980BED" w:rsidRPr="00980BED" w:rsidRDefault="00980BED" w:rsidP="00980BED">
      <w:r w:rsidRPr="00980BED">
        <w:t>Shareholders’ Equity – INR 358.20 Crores</w:t>
      </w:r>
    </w:p>
    <w:p w14:paraId="6E63B049" w14:textId="77777777" w:rsidR="00980BED" w:rsidRPr="00980BED" w:rsidRDefault="00980BED" w:rsidP="00980BED"/>
    <w:p w14:paraId="016ECD52" w14:textId="77777777" w:rsidR="00980BED" w:rsidRPr="00980BED" w:rsidRDefault="00980BED" w:rsidP="00980BED">
      <w:pPr>
        <w:pStyle w:val="Subtitle"/>
      </w:pPr>
      <w:r w:rsidRPr="00980BED">
        <w:t>4. Cash Flow Summary</w:t>
      </w:r>
    </w:p>
    <w:p w14:paraId="12C76C61" w14:textId="77777777" w:rsidR="00980BED" w:rsidRPr="00980BED" w:rsidRDefault="00980BED" w:rsidP="00980BED"/>
    <w:p w14:paraId="07957173" w14:textId="77777777" w:rsidR="00980BED" w:rsidRPr="00980BED" w:rsidRDefault="00980BED" w:rsidP="00980BED">
      <w:r w:rsidRPr="00980BED">
        <w:t xml:space="preserve">Net Cash from Operating Activities – INR 91.14 Crores  </w:t>
      </w:r>
    </w:p>
    <w:p w14:paraId="0B2E0E34" w14:textId="77777777" w:rsidR="00980BED" w:rsidRPr="00980BED" w:rsidRDefault="00980BED" w:rsidP="00980BED">
      <w:r w:rsidRPr="00980BED">
        <w:t xml:space="preserve">Net Cash Used in Investing Activities – INR (42.30) Crores  </w:t>
      </w:r>
    </w:p>
    <w:p w14:paraId="00E38C51" w14:textId="77777777" w:rsidR="00980BED" w:rsidRPr="00980BED" w:rsidRDefault="00980BED" w:rsidP="00980BED">
      <w:r w:rsidRPr="00980BED">
        <w:t>Net Cash Used in Financing Activities – INR (21.75) Crores</w:t>
      </w:r>
    </w:p>
    <w:p w14:paraId="348AA9B9" w14:textId="77777777" w:rsidR="00980BED" w:rsidRPr="00980BED" w:rsidRDefault="00980BED" w:rsidP="00980BED"/>
    <w:p w14:paraId="469DF96F" w14:textId="77777777" w:rsidR="00980BED" w:rsidRPr="00980BED" w:rsidRDefault="00980BED" w:rsidP="00980BED">
      <w:pPr>
        <w:pStyle w:val="Subtitle"/>
      </w:pPr>
      <w:r w:rsidRPr="00980BED">
        <w:t>5. Auditor’s Opinion</w:t>
      </w:r>
    </w:p>
    <w:p w14:paraId="3576EF24" w14:textId="77777777" w:rsidR="00980BED" w:rsidRPr="00980BED" w:rsidRDefault="00980BED" w:rsidP="00980BED"/>
    <w:p w14:paraId="2EC10D6C" w14:textId="77777777" w:rsidR="00980BED" w:rsidRPr="00980BED" w:rsidRDefault="00980BED" w:rsidP="00980BED">
      <w:r w:rsidRPr="00980BED">
        <w:t>The statutory auditors have issued an unmodified opinion on the financial statements for FY 2025.</w:t>
      </w:r>
    </w:p>
    <w:p w14:paraId="3F2CBDCE" w14:textId="77777777" w:rsidR="00980BED" w:rsidRPr="00980BED" w:rsidRDefault="00980BED" w:rsidP="00980BED"/>
    <w:p w14:paraId="327A4BF2" w14:textId="77777777" w:rsidR="00980BED" w:rsidRPr="00980BED" w:rsidRDefault="00980BED" w:rsidP="00980BED">
      <w:r w:rsidRPr="00980BED">
        <w:t xml:space="preserve">Chief Financial Officer  </w:t>
      </w:r>
    </w:p>
    <w:p w14:paraId="18C06107" w14:textId="77777777" w:rsidR="00980BED" w:rsidRPr="00980BED" w:rsidRDefault="00980BED" w:rsidP="00980BED">
      <w:r w:rsidRPr="00980BED">
        <w:t>Asteron Technologies Private Limited</w:t>
      </w:r>
    </w:p>
    <w:p w14:paraId="708323EA" w14:textId="77777777" w:rsidR="007D0570" w:rsidRDefault="007D0570"/>
    <w:sectPr w:rsidR="007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FE"/>
    <w:rsid w:val="00045EFE"/>
    <w:rsid w:val="00647837"/>
    <w:rsid w:val="007D0570"/>
    <w:rsid w:val="00834460"/>
    <w:rsid w:val="008803BE"/>
    <w:rsid w:val="0098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D5EA"/>
  <w15:chartTrackingRefBased/>
  <w15:docId w15:val="{DFE41F01-F84B-4894-B526-0054ACC3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F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803B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159</Words>
  <Characters>882</Characters>
  <Application>Microsoft Office Word</Application>
  <DocSecurity>0</DocSecurity>
  <Lines>49</Lines>
  <Paragraphs>34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Viswajith Mathialagan</cp:lastModifiedBy>
  <cp:revision>3</cp:revision>
  <dcterms:created xsi:type="dcterms:W3CDTF">2026-04-02T05:10:00Z</dcterms:created>
  <dcterms:modified xsi:type="dcterms:W3CDTF">2026-04-02T05:13:00Z</dcterms:modified>
</cp:coreProperties>
</file>