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11C2D"/>
          <w:sz w:val="52"/>
        </w:rPr>
        <w:t>Quarterly Business Review</w:t>
      </w:r>
    </w:p>
    <w:p>
      <w:r>
        <w:rPr>
          <w:rFonts w:ascii="Calibri" w:hAnsi="Calibri"/>
          <w:b w:val="0"/>
          <w:color w:val="5B6675"/>
          <w:sz w:val="24"/>
        </w:rPr>
        <w:t>Contoso Sample Holdings  |  Q3 2026  |  Internal sample document</w:t>
      </w:r>
    </w:p>
    <w:p>
      <w:r>
        <w:rPr>
          <w:rFonts w:ascii="Calibri" w:hAnsi="Calibri"/>
          <w:b w:val="0"/>
          <w:color w:val="5B6675"/>
          <w:sz w:val="20"/>
        </w:rPr>
        <w:t>This template is intentionally unprotected. The sample application loads this clean copy, marks backend-authorized bookmarks as editable regions, and then enforces whole-document read-only protection. The demonstration protection password is not an authorization secret and is not suitable for production.</w:t>
      </w:r>
    </w:p>
    <w:p>
      <w:r>
        <w:rPr>
          <w:rFonts w:ascii="Calibri" w:hAnsi="Calibri"/>
          <w:b/>
          <w:color w:val="0F6CBD"/>
          <w:sz w:val="32"/>
        </w:rPr>
        <w:t>Unassigned introduction</w:t>
      </w:r>
    </w:p>
    <w:p>
      <w:pPr>
        <w:spacing w:after="160"/>
      </w:pPr>
      <w:r>
        <w:rPr>
          <w:rFonts w:ascii="Calibri" w:hAnsi="Calibri"/>
          <w:b w:val="0"/>
          <w:sz w:val="22"/>
        </w:rPr>
        <w:t>This introduction is not wrapped by a bookmark. After the sample applies read-only protection, no demo profile can edit this paragraph. Use it to confirm that unassigned content stays locked for Author, Reviewer, and Viewer.</w:t>
      </w:r>
    </w:p>
    <w:p>
      <w:pPr>
        <w:spacing w:after="160"/>
      </w:pPr>
      <w:r>
        <w:rPr>
          <w:rFonts w:ascii="Calibri" w:hAnsi="Calibri"/>
          <w:b w:val="0"/>
          <w:sz w:val="22"/>
        </w:rPr>
        <w:t>Named bookmarks in this file: ExecutiveSummary, FinancialDetails, and ReviewerComments. Bookmark names begin with a letter and contain no spaces.</w:t>
      </w:r>
    </w:p>
    <w:p>
      <w:r>
        <w:rPr>
          <w:rFonts w:ascii="Calibri" w:hAnsi="Calibri"/>
          <w:b/>
          <w:color w:val="0F6CBD"/>
          <w:sz w:val="32"/>
        </w:rPr>
        <w:t>1. Executive Summary</w:t>
      </w:r>
    </w:p>
    <w:bookmarkStart w:id="1" w:name="ExecutiveSummary"/>
    <w:p>
      <w:pPr>
        <w:spacing w:after="160"/>
      </w:pPr>
      <w:r>
        <w:rPr>
          <w:rFonts w:ascii="Calibri" w:hAnsi="Calibri"/>
          <w:b w:val="0"/>
          <w:sz w:val="22"/>
        </w:rPr>
        <w:t>Revenue grew 12% year over year, driven by renewal expansion in the enterprise segment. Customer retention remained above the internal target, and operating expenses stayed within the approved plan.</w:t>
      </w:r>
    </w:p>
    <w:p>
      <w:pPr>
        <w:spacing w:after="160"/>
      </w:pPr>
      <w:r>
        <w:rPr>
          <w:rFonts w:ascii="Calibri" w:hAnsi="Calibri"/>
          <w:b w:val="0"/>
          <w:sz w:val="22"/>
        </w:rPr>
        <w:t>Authors may update this narrative when the Author profile is selected. Reviewers and Viewers must not be able to change this section. Replace this placeholder with a concise summary of results, risks, and next steps.</w:t>
      </w:r>
    </w:p>
    <w:bookmarkEnd w:id="1"/>
    <w:p>
      <w:r>
        <w:rPr>
          <w:rFonts w:ascii="Calibri" w:hAnsi="Calibri"/>
          <w:b/>
          <w:color w:val="0F6CBD"/>
          <w:sz w:val="32"/>
        </w:rPr>
        <w:t>2. Financial Details</w:t>
      </w:r>
    </w:p>
    <w:bookmarkStart w:id="2" w:name="FinancialDetails"/>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b/>
                <w:sz w:val="22"/>
              </w:rPr>
              <w:t>Metric</w:t>
            </w:r>
          </w:p>
        </w:tc>
        <w:tc>
          <w:tcPr>
            <w:tcW w:type="dxa" w:w="3216"/>
          </w:tcPr>
          <w:p>
            <w:r/>
            <w:r>
              <w:rPr>
                <w:rFonts w:ascii="Calibri" w:hAnsi="Calibri"/>
                <w:b/>
                <w:sz w:val="22"/>
              </w:rPr>
              <w:t>Q2 2026</w:t>
            </w:r>
          </w:p>
        </w:tc>
        <w:tc>
          <w:tcPr>
            <w:tcW w:type="dxa" w:w="3216"/>
          </w:tcPr>
          <w:p>
            <w:r/>
            <w:r>
              <w:rPr>
                <w:rFonts w:ascii="Calibri" w:hAnsi="Calibri"/>
                <w:b/>
                <w:sz w:val="22"/>
              </w:rPr>
              <w:t>Q3 2026</w:t>
            </w:r>
          </w:p>
        </w:tc>
      </w:tr>
      <w:tr>
        <w:tc>
          <w:tcPr>
            <w:tcW w:type="dxa" w:w="3216"/>
          </w:tcPr>
          <w:p>
            <w:r/>
            <w:r>
              <w:rPr>
                <w:rFonts w:ascii="Calibri" w:hAnsi="Calibri"/>
                <w:b w:val="0"/>
                <w:sz w:val="22"/>
              </w:rPr>
              <w:t>Recurring revenue</w:t>
            </w:r>
          </w:p>
        </w:tc>
        <w:tc>
          <w:tcPr>
            <w:tcW w:type="dxa" w:w="3216"/>
          </w:tcPr>
          <w:p>
            <w:r/>
            <w:r>
              <w:rPr>
                <w:rFonts w:ascii="Calibri" w:hAnsi="Calibri"/>
                <w:b w:val="0"/>
                <w:sz w:val="22"/>
              </w:rPr>
              <w:t>$4.2M</w:t>
            </w:r>
          </w:p>
        </w:tc>
        <w:tc>
          <w:tcPr>
            <w:tcW w:type="dxa" w:w="3216"/>
          </w:tcPr>
          <w:p>
            <w:r/>
            <w:r>
              <w:rPr>
                <w:rFonts w:ascii="Calibri" w:hAnsi="Calibri"/>
                <w:b w:val="0"/>
                <w:sz w:val="22"/>
              </w:rPr>
              <w:t>$4.7M</w:t>
            </w:r>
          </w:p>
        </w:tc>
      </w:tr>
      <w:tr>
        <w:tc>
          <w:tcPr>
            <w:tcW w:type="dxa" w:w="3216"/>
          </w:tcPr>
          <w:p>
            <w:r/>
            <w:r>
              <w:rPr>
                <w:rFonts w:ascii="Calibri" w:hAnsi="Calibri"/>
                <w:b w:val="0"/>
                <w:sz w:val="22"/>
              </w:rPr>
              <w:t>Gross margin</w:t>
            </w:r>
          </w:p>
        </w:tc>
        <w:tc>
          <w:tcPr>
            <w:tcW w:type="dxa" w:w="3216"/>
          </w:tcPr>
          <w:p>
            <w:r/>
            <w:r>
              <w:rPr>
                <w:rFonts w:ascii="Calibri" w:hAnsi="Calibri"/>
                <w:b w:val="0"/>
                <w:sz w:val="22"/>
              </w:rPr>
              <w:t>71%</w:t>
            </w:r>
          </w:p>
        </w:tc>
        <w:tc>
          <w:tcPr>
            <w:tcW w:type="dxa" w:w="3216"/>
          </w:tcPr>
          <w:p>
            <w:r/>
            <w:r>
              <w:rPr>
                <w:rFonts w:ascii="Calibri" w:hAnsi="Calibri"/>
                <w:b w:val="0"/>
                <w:sz w:val="22"/>
              </w:rPr>
              <w:t>73%</w:t>
            </w:r>
          </w:p>
        </w:tc>
      </w:tr>
      <w:tr>
        <w:tc>
          <w:tcPr>
            <w:tcW w:type="dxa" w:w="3216"/>
          </w:tcPr>
          <w:p>
            <w:r/>
            <w:r>
              <w:rPr>
                <w:rFonts w:ascii="Calibri" w:hAnsi="Calibri"/>
                <w:b w:val="0"/>
                <w:sz w:val="22"/>
              </w:rPr>
              <w:t>Operating expenses</w:t>
            </w:r>
          </w:p>
        </w:tc>
        <w:tc>
          <w:tcPr>
            <w:tcW w:type="dxa" w:w="3216"/>
          </w:tcPr>
          <w:p>
            <w:r/>
            <w:r>
              <w:rPr>
                <w:rFonts w:ascii="Calibri" w:hAnsi="Calibri"/>
                <w:b w:val="0"/>
                <w:sz w:val="22"/>
              </w:rPr>
              <w:t>$2.1M</w:t>
            </w:r>
          </w:p>
        </w:tc>
        <w:tc>
          <w:tcPr>
            <w:tcW w:type="dxa" w:w="3216"/>
          </w:tcPr>
          <w:p>
            <w:r/>
            <w:r>
              <w:rPr>
                <w:rFonts w:ascii="Calibri" w:hAnsi="Calibri"/>
                <w:b w:val="0"/>
                <w:sz w:val="22"/>
              </w:rPr>
              <w:t>$2.2M</w:t>
            </w:r>
          </w:p>
        </w:tc>
      </w:tr>
    </w:tbl>
    <w:bookmarkEnd w:id="2"/>
    <w:p>
      <w:r>
        <w:rPr>
          <w:rFonts w:ascii="Calibri" w:hAnsi="Calibri"/>
          <w:b w:val="0"/>
          <w:color w:val="5B6675"/>
          <w:sz w:val="20"/>
        </w:rPr>
        <w:t>The heading above and this caption are outside the FinancialDetails bookmark. Only the table is editable for the Author profile.</w:t>
      </w:r>
    </w:p>
    <w:p>
      <w:r>
        <w:rPr>
          <w:rFonts w:ascii="Calibri" w:hAnsi="Calibri"/>
          <w:b/>
          <w:color w:val="0F6CBD"/>
          <w:sz w:val="32"/>
        </w:rPr>
        <w:t>3. Reviewer Comments</w:t>
      </w:r>
    </w:p>
    <w:bookmarkStart w:id="3" w:name="ReviewerComments"/>
    <w:p>
      <w:pPr>
        <w:spacing w:after="160"/>
      </w:pPr>
      <w:r>
        <w:rPr>
          <w:rFonts w:ascii="Calibri" w:hAnsi="Calibri"/>
          <w:b w:val="0"/>
          <w:sz w:val="22"/>
        </w:rPr>
        <w:t>Reviewer comments go here. Confirm whether the executive summary and financial table are complete, note outstanding questions, and record the review decision. Authors and Viewers must not be able to edit this range.</w:t>
      </w:r>
    </w:p>
    <w:p>
      <w:pPr>
        <w:spacing w:after="160"/>
      </w:pPr>
      <w:r>
        <w:rPr>
          <w:rFonts w:ascii="Calibri" w:hAnsi="Calibri"/>
          <w:b w:val="0"/>
          <w:sz w:val="22"/>
        </w:rPr>
        <w:t>Status: Pending review. Add findings, required follow-ups, and a dated sign-off.</w:t>
      </w:r>
    </w:p>
    <w:bookmarkEnd w:id="3"/>
    <w:p>
      <w:r>
        <w:rPr>
          <w:rFonts w:ascii="Calibri" w:hAnsi="Calibri"/>
          <w:b/>
          <w:color w:val="0F6CBD"/>
          <w:sz w:val="32"/>
        </w:rPr>
        <w:t>4. Closing remarks</w:t>
      </w:r>
    </w:p>
    <w:p>
      <w:pPr>
        <w:spacing w:after="160"/>
      </w:pPr>
      <w:r>
        <w:rPr>
          <w:rFonts w:ascii="Calibri" w:hAnsi="Calibri"/>
          <w:b w:val="0"/>
          <w:sz w:val="22"/>
        </w:rPr>
        <w:t>These closing remarks are unbookmarked on purpose. Every demo profile should be able to read this text and none should be able to change it after protection is enforced. Copy and navigation may remain available.</w:t>
      </w:r>
    </w:p>
    <w:p>
      <w:pPr>
        <w:spacing w:after="160"/>
      </w:pPr>
      <w:r>
        <w:rPr>
          <w:rFonts w:ascii="Calibri" w:hAnsi="Calibri"/>
          <w:b w:val="0"/>
          <w:sz w:val="22"/>
        </w:rPr>
        <w:t>Production systems must authorize document access on the backend. Browser restrict-editing is a document-experience control, not a complete security boundary.</w:t>
      </w:r>
    </w:p>
    <w:p>
      <w:r>
        <w:rPr>
          <w:rFonts w:ascii="Calibri" w:hAnsi="Calibri"/>
          <w:b w:val="0"/>
          <w:color w:val="5B6675"/>
          <w:sz w:val="18"/>
        </w:rPr>
        <w:t>Dynamic Permissions Sample  ·  Redistributable template  ·  No customer data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