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A6A6"/>
          <w:sz w:val="18"/>
        </w:rPr>
        <w:t>BOARD OF DIRECTORS</w:t>
      </w:r>
    </w:p>
    <w:p>
      <w:pPr>
        <w:pStyle w:val="Title"/>
      </w:pPr>
      <w:r>
        <w:t>Executive Board Pack</w:t>
      </w:r>
    </w:p>
    <w:p>
      <w:r>
        <w:rPr>
          <w:color w:val="5B6573"/>
        </w:rPr>
        <w:t>Quarter ended 30 June 2026  |  Prepared for the 15 July 2026 Board Meeting</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2563"/>
            <w:shd w:fill="17324D"/>
            <w:tcMar>
              <w:top w:w="120" w:type="dxa"/>
              <w:start w:w="120" w:type="dxa"/>
              <w:bottom w:w="120" w:type="dxa"/>
              <w:end w:w="120" w:type="dxa"/>
            </w:tcMar>
            <w:vAlign w:val="center"/>
          </w:tcPr>
          <w:p>
            <w:pPr>
              <w:jc w:val="center"/>
            </w:pPr>
            <w:r>
              <w:rPr>
                <w:b/>
                <w:color w:val="B9D5EA"/>
                <w:sz w:val="16"/>
              </w:rPr>
              <w:t>REVENUE</w:t>
              <w:br/>
            </w:r>
            <w:r>
              <w:rPr>
                <w:b/>
                <w:color w:val="FFFFFF"/>
                <w:sz w:val="22"/>
              </w:rPr>
              <w:t>$48.6m</w:t>
              <w:br/>
              <w:t>+8.5% YoY</w:t>
            </w:r>
          </w:p>
        </w:tc>
        <w:tc>
          <w:tcPr>
            <w:tcW w:type="dxa" w:w="2563"/>
            <w:shd w:fill="17324D"/>
            <w:tcMar>
              <w:top w:w="120" w:type="dxa"/>
              <w:start w:w="120" w:type="dxa"/>
              <w:bottom w:w="120" w:type="dxa"/>
              <w:end w:w="120" w:type="dxa"/>
            </w:tcMar>
            <w:vAlign w:val="center"/>
          </w:tcPr>
          <w:p>
            <w:pPr>
              <w:jc w:val="center"/>
            </w:pPr>
            <w:r>
              <w:rPr>
                <w:b/>
                <w:color w:val="B9D5EA"/>
                <w:sz w:val="16"/>
              </w:rPr>
              <w:t>EBITDA</w:t>
              <w:br/>
            </w:r>
            <w:r>
              <w:rPr>
                <w:b/>
                <w:color w:val="FFFFFF"/>
                <w:sz w:val="22"/>
              </w:rPr>
              <w:t>$11.4m</w:t>
              <w:br/>
              <w:t>23.5% margin</w:t>
            </w:r>
          </w:p>
        </w:tc>
        <w:tc>
          <w:tcPr>
            <w:tcW w:type="dxa" w:w="2563"/>
            <w:shd w:fill="17324D"/>
            <w:tcMar>
              <w:top w:w="120" w:type="dxa"/>
              <w:start w:w="120" w:type="dxa"/>
              <w:bottom w:w="120" w:type="dxa"/>
              <w:end w:w="120" w:type="dxa"/>
            </w:tcMar>
            <w:vAlign w:val="center"/>
          </w:tcPr>
          <w:p>
            <w:pPr>
              <w:jc w:val="center"/>
            </w:pPr>
            <w:r>
              <w:rPr>
                <w:b/>
                <w:color w:val="B9D5EA"/>
                <w:sz w:val="16"/>
              </w:rPr>
              <w:t>CASH</w:t>
              <w:br/>
            </w:r>
            <w:r>
              <w:rPr>
                <w:b/>
                <w:color w:val="FFFFFF"/>
                <w:sz w:val="22"/>
              </w:rPr>
              <w:t>$16.2m</w:t>
              <w:br/>
              <w:t>1.8x cover</w:t>
            </w:r>
          </w:p>
        </w:tc>
        <w:tc>
          <w:tcPr>
            <w:tcW w:type="dxa" w:w="2563"/>
            <w:shd w:fill="00A6A6"/>
            <w:tcMar>
              <w:top w:w="120" w:type="dxa"/>
              <w:start w:w="120" w:type="dxa"/>
              <w:bottom w:w="120" w:type="dxa"/>
              <w:end w:w="120" w:type="dxa"/>
            </w:tcMar>
            <w:vAlign w:val="center"/>
          </w:tcPr>
          <w:p>
            <w:pPr>
              <w:jc w:val="center"/>
            </w:pPr>
            <w:r>
              <w:rPr>
                <w:b/>
                <w:color w:val="B9D5EA"/>
                <w:sz w:val="16"/>
              </w:rPr>
              <w:t>NPS</w:t>
              <w:br/>
            </w:r>
            <w:r>
              <w:rPr>
                <w:b/>
                <w:color w:val="FFFFFF"/>
                <w:sz w:val="22"/>
              </w:rPr>
              <w:t>58</w:t>
              <w:br/>
              <w:t>+4 pts QoQ</w:t>
            </w:r>
          </w:p>
        </w:tc>
      </w:tr>
    </w:tbl>
    <w:p/>
    <w:p>
      <w:pPr>
        <w:pStyle w:val="Heading1"/>
      </w:pPr>
      <w:r>
        <w:t>1. Executive summary</w:t>
      </w:r>
    </w:p>
    <w:p>
      <w:pPr>
        <w:spacing w:after="140"/>
      </w:pPr>
      <w:r>
        <w:t>Trading remained resilient in Q2. Revenue exceeded plan by $1.8m, led by the Direct channel and the launch of the Horizon product family. Gross margin softened by 60 bps due to expedited freight and promotional activity, partly offset by procurement savings. Management retains the full-year revenue outlook and has narrowed the EBITDA range to $44m–$46m.</w:t>
      </w:r>
    </w:p>
    <w:p>
      <w:pPr>
        <w:pStyle w:val="Heading2"/>
      </w:pPr>
      <w:r>
        <w:t>Performance at a glance</w:t>
      </w:r>
    </w:p>
    <w:tbl>
      <w:tblPr>
        <w:tblStyle w:val="LightShading-Accent1"/>
        <w:tblW w:type="auto" w:w="0"/>
        <w:jc w:val="center"/>
        <w:tblLook w:firstColumn="1" w:firstRow="1" w:lastColumn="0" w:lastRow="0" w:noHBand="0" w:noVBand="1" w:val="04A0"/>
      </w:tblPr>
      <w:tblGrid>
        <w:gridCol w:w="2074"/>
        <w:gridCol w:w="2074"/>
        <w:gridCol w:w="2074"/>
        <w:gridCol w:w="2074"/>
        <w:gridCol w:w="2074"/>
      </w:tblGrid>
      <w:tr>
        <w:tc>
          <w:tcPr>
            <w:tcW w:type="dxa" w:w="2074"/>
            <w:shd w:fill="17324D"/>
          </w:tcPr>
          <w:p>
            <w:r>
              <w:rPr>
                <w:b/>
                <w:color w:val="FFFFFF"/>
              </w:rPr>
              <w:t>Metric</w:t>
            </w:r>
          </w:p>
        </w:tc>
        <w:tc>
          <w:tcPr>
            <w:tcW w:type="dxa" w:w="2074"/>
            <w:shd w:fill="17324D"/>
          </w:tcPr>
          <w:p>
            <w:r>
              <w:rPr>
                <w:b/>
                <w:color w:val="FFFFFF"/>
              </w:rPr>
              <w:t>Q2 Actual</w:t>
            </w:r>
          </w:p>
        </w:tc>
        <w:tc>
          <w:tcPr>
            <w:tcW w:type="dxa" w:w="2074"/>
            <w:shd w:fill="17324D"/>
          </w:tcPr>
          <w:p>
            <w:r>
              <w:rPr>
                <w:b/>
                <w:color w:val="FFFFFF"/>
              </w:rPr>
              <w:t>Q2 Plan</w:t>
            </w:r>
          </w:p>
        </w:tc>
        <w:tc>
          <w:tcPr>
            <w:tcW w:type="dxa" w:w="2074"/>
            <w:shd w:fill="17324D"/>
          </w:tcPr>
          <w:p>
            <w:r>
              <w:rPr>
                <w:b/>
                <w:color w:val="FFFFFF"/>
              </w:rPr>
              <w:t>Variance</w:t>
            </w:r>
          </w:p>
        </w:tc>
        <w:tc>
          <w:tcPr>
            <w:tcW w:type="dxa" w:w="2074"/>
            <w:shd w:fill="17324D"/>
          </w:tcPr>
          <w:p>
            <w:r>
              <w:rPr>
                <w:b/>
                <w:color w:val="FFFFFF"/>
              </w:rPr>
              <w:t>FY Outlook</w:t>
            </w:r>
          </w:p>
        </w:tc>
      </w:tr>
      <w:tr>
        <w:tc>
          <w:tcPr>
            <w:tcW w:type="dxa" w:w="2074"/>
            <w:tcMar>
              <w:top w:w="100" w:type="dxa"/>
              <w:start w:w="120" w:type="dxa"/>
              <w:bottom w:w="100" w:type="dxa"/>
              <w:end w:w="120" w:type="dxa"/>
            </w:tcMar>
          </w:tcPr>
          <w:p>
            <w:r>
              <w:t>Revenue</w:t>
            </w:r>
          </w:p>
        </w:tc>
        <w:tc>
          <w:tcPr>
            <w:tcW w:type="dxa" w:w="2074"/>
            <w:tcMar>
              <w:top w:w="100" w:type="dxa"/>
              <w:start w:w="120" w:type="dxa"/>
              <w:bottom w:w="100" w:type="dxa"/>
              <w:end w:w="120" w:type="dxa"/>
            </w:tcMar>
          </w:tcPr>
          <w:p>
            <w:r>
              <w:t>$48.6m</w:t>
            </w:r>
          </w:p>
        </w:tc>
        <w:tc>
          <w:tcPr>
            <w:tcW w:type="dxa" w:w="2074"/>
            <w:tcMar>
              <w:top w:w="100" w:type="dxa"/>
              <w:start w:w="120" w:type="dxa"/>
              <w:bottom w:w="100" w:type="dxa"/>
              <w:end w:w="120" w:type="dxa"/>
            </w:tcMar>
          </w:tcPr>
          <w:p>
            <w:r>
              <w:t>$46.8m</w:t>
            </w:r>
          </w:p>
        </w:tc>
        <w:tc>
          <w:tcPr>
            <w:tcW w:type="dxa" w:w="2074"/>
            <w:tcMar>
              <w:top w:w="100" w:type="dxa"/>
              <w:start w:w="120" w:type="dxa"/>
              <w:bottom w:w="100" w:type="dxa"/>
              <w:end w:w="120" w:type="dxa"/>
            </w:tcMar>
          </w:tcPr>
          <w:p>
            <w:r>
              <w:t>+$1.8m</w:t>
            </w:r>
          </w:p>
        </w:tc>
        <w:tc>
          <w:tcPr>
            <w:tcW w:type="dxa" w:w="2074"/>
            <w:tcMar>
              <w:top w:w="100" w:type="dxa"/>
              <w:start w:w="120" w:type="dxa"/>
              <w:bottom w:w="100" w:type="dxa"/>
              <w:end w:w="120" w:type="dxa"/>
            </w:tcMar>
          </w:tcPr>
          <w:p>
            <w:r>
              <w:t>$194–198m</w:t>
            </w:r>
          </w:p>
        </w:tc>
      </w:tr>
      <w:tr>
        <w:tc>
          <w:tcPr>
            <w:tcW w:type="dxa" w:w="2074"/>
            <w:tcMar>
              <w:top w:w="100" w:type="dxa"/>
              <w:start w:w="120" w:type="dxa"/>
              <w:bottom w:w="100" w:type="dxa"/>
              <w:end w:w="120" w:type="dxa"/>
            </w:tcMar>
          </w:tcPr>
          <w:p>
            <w:r>
              <w:t>EBITDA</w:t>
            </w:r>
          </w:p>
        </w:tc>
        <w:tc>
          <w:tcPr>
            <w:tcW w:type="dxa" w:w="2074"/>
            <w:tcMar>
              <w:top w:w="100" w:type="dxa"/>
              <w:start w:w="120" w:type="dxa"/>
              <w:bottom w:w="100" w:type="dxa"/>
              <w:end w:w="120" w:type="dxa"/>
            </w:tcMar>
          </w:tcPr>
          <w:p>
            <w:r>
              <w:t>$11.4m</w:t>
            </w:r>
          </w:p>
        </w:tc>
        <w:tc>
          <w:tcPr>
            <w:tcW w:type="dxa" w:w="2074"/>
            <w:tcMar>
              <w:top w:w="100" w:type="dxa"/>
              <w:start w:w="120" w:type="dxa"/>
              <w:bottom w:w="100" w:type="dxa"/>
              <w:end w:w="120" w:type="dxa"/>
            </w:tcMar>
          </w:tcPr>
          <w:p>
            <w:r>
              <w:t>$10.9m</w:t>
            </w:r>
          </w:p>
        </w:tc>
        <w:tc>
          <w:tcPr>
            <w:tcW w:type="dxa" w:w="2074"/>
            <w:tcMar>
              <w:top w:w="100" w:type="dxa"/>
              <w:start w:w="120" w:type="dxa"/>
              <w:bottom w:w="100" w:type="dxa"/>
              <w:end w:w="120" w:type="dxa"/>
            </w:tcMar>
          </w:tcPr>
          <w:p>
            <w:r>
              <w:t>+$0.5m</w:t>
            </w:r>
          </w:p>
        </w:tc>
        <w:tc>
          <w:tcPr>
            <w:tcW w:type="dxa" w:w="2074"/>
            <w:tcMar>
              <w:top w:w="100" w:type="dxa"/>
              <w:start w:w="120" w:type="dxa"/>
              <w:bottom w:w="100" w:type="dxa"/>
              <w:end w:w="120" w:type="dxa"/>
            </w:tcMar>
          </w:tcPr>
          <w:p>
            <w:r>
              <w:t>$44–46m</w:t>
            </w:r>
          </w:p>
        </w:tc>
      </w:tr>
      <w:tr>
        <w:tc>
          <w:tcPr>
            <w:tcW w:type="dxa" w:w="2074"/>
            <w:tcMar>
              <w:top w:w="100" w:type="dxa"/>
              <w:start w:w="120" w:type="dxa"/>
              <w:bottom w:w="100" w:type="dxa"/>
              <w:end w:w="120" w:type="dxa"/>
            </w:tcMar>
          </w:tcPr>
          <w:p>
            <w:r>
              <w:t>Free cash flow</w:t>
            </w:r>
          </w:p>
        </w:tc>
        <w:tc>
          <w:tcPr>
            <w:tcW w:type="dxa" w:w="2074"/>
            <w:tcMar>
              <w:top w:w="100" w:type="dxa"/>
              <w:start w:w="120" w:type="dxa"/>
              <w:bottom w:w="100" w:type="dxa"/>
              <w:end w:w="120" w:type="dxa"/>
            </w:tcMar>
          </w:tcPr>
          <w:p>
            <w:r>
              <w:t>$6.8m</w:t>
            </w:r>
          </w:p>
        </w:tc>
        <w:tc>
          <w:tcPr>
            <w:tcW w:type="dxa" w:w="2074"/>
            <w:tcMar>
              <w:top w:w="100" w:type="dxa"/>
              <w:start w:w="120" w:type="dxa"/>
              <w:bottom w:w="100" w:type="dxa"/>
              <w:end w:w="120" w:type="dxa"/>
            </w:tcMar>
          </w:tcPr>
          <w:p>
            <w:r>
              <w:t>$5.9m</w:t>
            </w:r>
          </w:p>
        </w:tc>
        <w:tc>
          <w:tcPr>
            <w:tcW w:type="dxa" w:w="2074"/>
            <w:tcMar>
              <w:top w:w="100" w:type="dxa"/>
              <w:start w:w="120" w:type="dxa"/>
              <w:bottom w:w="100" w:type="dxa"/>
              <w:end w:w="120" w:type="dxa"/>
            </w:tcMar>
          </w:tcPr>
          <w:p>
            <w:r>
              <w:t>+$0.9m</w:t>
            </w:r>
          </w:p>
        </w:tc>
        <w:tc>
          <w:tcPr>
            <w:tcW w:type="dxa" w:w="2074"/>
            <w:tcMar>
              <w:top w:w="100" w:type="dxa"/>
              <w:start w:w="120" w:type="dxa"/>
              <w:bottom w:w="100" w:type="dxa"/>
              <w:end w:w="120" w:type="dxa"/>
            </w:tcMar>
          </w:tcPr>
          <w:p>
            <w:r>
              <w:t>$23–25m</w:t>
            </w:r>
          </w:p>
        </w:tc>
      </w:tr>
      <w:tr>
        <w:tc>
          <w:tcPr>
            <w:tcW w:type="dxa" w:w="2074"/>
            <w:tcMar>
              <w:top w:w="100" w:type="dxa"/>
              <w:start w:w="120" w:type="dxa"/>
              <w:bottom w:w="100" w:type="dxa"/>
              <w:end w:w="120" w:type="dxa"/>
            </w:tcMar>
          </w:tcPr>
          <w:p>
            <w:r>
              <w:t>Safety TRIR</w:t>
            </w:r>
          </w:p>
        </w:tc>
        <w:tc>
          <w:tcPr>
            <w:tcW w:type="dxa" w:w="2074"/>
            <w:tcMar>
              <w:top w:w="100" w:type="dxa"/>
              <w:start w:w="120" w:type="dxa"/>
              <w:bottom w:w="100" w:type="dxa"/>
              <w:end w:w="120" w:type="dxa"/>
            </w:tcMar>
          </w:tcPr>
          <w:p>
            <w:r>
              <w:t>0.42</w:t>
            </w:r>
          </w:p>
        </w:tc>
        <w:tc>
          <w:tcPr>
            <w:tcW w:type="dxa" w:w="2074"/>
            <w:tcMar>
              <w:top w:w="100" w:type="dxa"/>
              <w:start w:w="120" w:type="dxa"/>
              <w:bottom w:w="100" w:type="dxa"/>
              <w:end w:w="120" w:type="dxa"/>
            </w:tcMar>
          </w:tcPr>
          <w:p>
            <w:r>
              <w:t>≤0.50</w:t>
            </w:r>
          </w:p>
        </w:tc>
        <w:tc>
          <w:tcPr>
            <w:tcW w:type="dxa" w:w="2074"/>
            <w:tcMar>
              <w:top w:w="100" w:type="dxa"/>
              <w:start w:w="120" w:type="dxa"/>
              <w:bottom w:w="100" w:type="dxa"/>
              <w:end w:w="120" w:type="dxa"/>
            </w:tcMar>
          </w:tcPr>
          <w:p>
            <w:r>
              <w:t>Favorable</w:t>
            </w:r>
          </w:p>
        </w:tc>
        <w:tc>
          <w:tcPr>
            <w:tcW w:type="dxa" w:w="2074"/>
            <w:tcMar>
              <w:top w:w="100" w:type="dxa"/>
              <w:start w:w="120" w:type="dxa"/>
              <w:bottom w:w="100" w:type="dxa"/>
              <w:end w:w="120" w:type="dxa"/>
            </w:tcMar>
          </w:tcPr>
          <w:p>
            <w:r>
              <w:t>≤0.50</w:t>
            </w:r>
          </w:p>
        </w:tc>
      </w:tr>
    </w:tbl>
    <w:p>
      <w:pPr>
        <w:pStyle w:val="Heading2"/>
      </w:pPr>
      <w:r>
        <w:t>Decisions requested</w:t>
      </w:r>
    </w:p>
    <w:p>
      <w:pPr>
        <w:pStyle w:val="ListBullet"/>
      </w:pPr>
      <w:r>
        <w:t>Approve $6.0m phase-one investment for the Dallas distribution automation program.</w:t>
      </w:r>
    </w:p>
    <w:p>
      <w:pPr>
        <w:pStyle w:val="ListBullet"/>
      </w:pPr>
      <w:r>
        <w:t>Authorize renewal of the $20.0m revolving credit facility for three years.</w:t>
      </w:r>
    </w:p>
    <w:p>
      <w:pPr>
        <w:pStyle w:val="ListBullet"/>
      </w:pPr>
      <w:r>
        <w:t>Endorse the revised cyber-risk appetite and quarterly reporting thresholds.</w:t>
      </w:r>
    </w:p>
    <w:p>
      <w:r>
        <w:br w:type="page"/>
      </w:r>
    </w:p>
    <w:p>
      <w:pPr>
        <w:pStyle w:val="Title"/>
      </w:pPr>
      <w:r>
        <w:t>2. Strategic priorities and risk</w:t>
      </w:r>
    </w:p>
    <w:p>
      <w:r>
        <w:rPr>
          <w:color w:val="5B6573"/>
        </w:rPr>
        <w:t>Management focus for Q3 is disciplined growth, operating resilience, and delivery of the FY2026 transformation roadmap.</w:t>
      </w:r>
    </w:p>
    <w:p>
      <w:pPr>
        <w:pStyle w:val="Heading1"/>
      </w:pPr>
      <w:r>
        <w:t>Priority initiatives</w:t>
      </w:r>
    </w:p>
    <w:tbl>
      <w:tblPr>
        <w:tblStyle w:val="LightShading-Accent1"/>
        <w:tblW w:type="auto" w:w="0"/>
        <w:jc w:val="center"/>
        <w:tblLook w:firstColumn="1" w:firstRow="1" w:lastColumn="0" w:lastRow="0" w:noHBand="0" w:noVBand="1" w:val="04A0"/>
      </w:tblPr>
      <w:tblGrid>
        <w:gridCol w:w="2074"/>
        <w:gridCol w:w="2074"/>
        <w:gridCol w:w="2074"/>
        <w:gridCol w:w="2074"/>
        <w:gridCol w:w="2074"/>
      </w:tblGrid>
      <w:tr>
        <w:tc>
          <w:tcPr>
            <w:tcW w:type="dxa" w:w="2074"/>
            <w:shd w:fill="17324D"/>
          </w:tcPr>
          <w:p>
            <w:r>
              <w:rPr>
                <w:b/>
                <w:color w:val="FFFFFF"/>
              </w:rPr>
              <w:t>Initiative</w:t>
            </w:r>
          </w:p>
        </w:tc>
        <w:tc>
          <w:tcPr>
            <w:tcW w:type="dxa" w:w="2074"/>
            <w:shd w:fill="17324D"/>
          </w:tcPr>
          <w:p>
            <w:r>
              <w:rPr>
                <w:b/>
                <w:color w:val="FFFFFF"/>
              </w:rPr>
              <w:t>Owner</w:t>
            </w:r>
          </w:p>
        </w:tc>
        <w:tc>
          <w:tcPr>
            <w:tcW w:type="dxa" w:w="2074"/>
            <w:shd w:fill="17324D"/>
          </w:tcPr>
          <w:p>
            <w:r>
              <w:rPr>
                <w:b/>
                <w:color w:val="FFFFFF"/>
              </w:rPr>
              <w:t>Q2 status</w:t>
            </w:r>
          </w:p>
        </w:tc>
        <w:tc>
          <w:tcPr>
            <w:tcW w:type="dxa" w:w="2074"/>
            <w:shd w:fill="17324D"/>
          </w:tcPr>
          <w:p>
            <w:r>
              <w:rPr>
                <w:b/>
                <w:color w:val="FFFFFF"/>
              </w:rPr>
              <w:t>Next milestone</w:t>
            </w:r>
          </w:p>
        </w:tc>
        <w:tc>
          <w:tcPr>
            <w:tcW w:type="dxa" w:w="2074"/>
            <w:shd w:fill="17324D"/>
          </w:tcPr>
          <w:p>
            <w:r>
              <w:rPr>
                <w:b/>
                <w:color w:val="FFFFFF"/>
              </w:rPr>
              <w:t>RAG</w:t>
            </w:r>
          </w:p>
        </w:tc>
      </w:tr>
      <w:tr>
        <w:tc>
          <w:tcPr>
            <w:tcW w:type="dxa" w:w="2074"/>
            <w:tcMar>
              <w:top w:w="100" w:type="dxa"/>
              <w:start w:w="120" w:type="dxa"/>
              <w:bottom w:w="100" w:type="dxa"/>
              <w:end w:w="120" w:type="dxa"/>
            </w:tcMar>
          </w:tcPr>
          <w:p>
            <w:r>
              <w:t>Dallas automation</w:t>
            </w:r>
          </w:p>
        </w:tc>
        <w:tc>
          <w:tcPr>
            <w:tcW w:type="dxa" w:w="2074"/>
            <w:tcMar>
              <w:top w:w="100" w:type="dxa"/>
              <w:start w:w="120" w:type="dxa"/>
              <w:bottom w:w="100" w:type="dxa"/>
              <w:end w:w="120" w:type="dxa"/>
            </w:tcMar>
          </w:tcPr>
          <w:p>
            <w:r>
              <w:t>COO</w:t>
            </w:r>
          </w:p>
        </w:tc>
        <w:tc>
          <w:tcPr>
            <w:tcW w:type="dxa" w:w="2074"/>
            <w:tcMar>
              <w:top w:w="100" w:type="dxa"/>
              <w:start w:w="120" w:type="dxa"/>
              <w:bottom w:w="100" w:type="dxa"/>
              <w:end w:w="120" w:type="dxa"/>
            </w:tcMar>
          </w:tcPr>
          <w:p>
            <w:r>
              <w:t>Vendor selected</w:t>
            </w:r>
          </w:p>
        </w:tc>
        <w:tc>
          <w:tcPr>
            <w:tcW w:type="dxa" w:w="2074"/>
            <w:tcMar>
              <w:top w:w="100" w:type="dxa"/>
              <w:start w:w="120" w:type="dxa"/>
              <w:bottom w:w="100" w:type="dxa"/>
              <w:end w:w="120" w:type="dxa"/>
            </w:tcMar>
          </w:tcPr>
          <w:p>
            <w:r>
              <w:t>Design freeze, 31 Aug</w:t>
            </w:r>
          </w:p>
        </w:tc>
        <w:tc>
          <w:tcPr>
            <w:tcW w:type="dxa" w:w="2074"/>
            <w:tcMar>
              <w:top w:w="100" w:type="dxa"/>
              <w:start w:w="120" w:type="dxa"/>
              <w:bottom w:w="100" w:type="dxa"/>
              <w:end w:w="120" w:type="dxa"/>
            </w:tcMar>
            <w:shd w:fill="FFF2CC"/>
          </w:tcPr>
          <w:p>
            <w:r>
              <w:t>Amber</w:t>
            </w:r>
          </w:p>
        </w:tc>
      </w:tr>
      <w:tr>
        <w:tc>
          <w:tcPr>
            <w:tcW w:type="dxa" w:w="2074"/>
            <w:tcMar>
              <w:top w:w="100" w:type="dxa"/>
              <w:start w:w="120" w:type="dxa"/>
              <w:bottom w:w="100" w:type="dxa"/>
              <w:end w:w="120" w:type="dxa"/>
            </w:tcMar>
          </w:tcPr>
          <w:p>
            <w:r>
              <w:t>Horizon launch</w:t>
            </w:r>
          </w:p>
        </w:tc>
        <w:tc>
          <w:tcPr>
            <w:tcW w:type="dxa" w:w="2074"/>
            <w:tcMar>
              <w:top w:w="100" w:type="dxa"/>
              <w:start w:w="120" w:type="dxa"/>
              <w:bottom w:w="100" w:type="dxa"/>
              <w:end w:w="120" w:type="dxa"/>
            </w:tcMar>
          </w:tcPr>
          <w:p>
            <w:r>
              <w:t>CCO</w:t>
            </w:r>
          </w:p>
        </w:tc>
        <w:tc>
          <w:tcPr>
            <w:tcW w:type="dxa" w:w="2074"/>
            <w:tcMar>
              <w:top w:w="100" w:type="dxa"/>
              <w:start w:w="120" w:type="dxa"/>
              <w:bottom w:w="100" w:type="dxa"/>
              <w:end w:w="120" w:type="dxa"/>
            </w:tcMar>
          </w:tcPr>
          <w:p>
            <w:r>
              <w:t>Above plan</w:t>
            </w:r>
          </w:p>
        </w:tc>
        <w:tc>
          <w:tcPr>
            <w:tcW w:type="dxa" w:w="2074"/>
            <w:tcMar>
              <w:top w:w="100" w:type="dxa"/>
              <w:start w:w="120" w:type="dxa"/>
              <w:bottom w:w="100" w:type="dxa"/>
              <w:end w:w="120" w:type="dxa"/>
            </w:tcMar>
          </w:tcPr>
          <w:p>
            <w:r>
              <w:t>National retail rollout</w:t>
            </w:r>
          </w:p>
        </w:tc>
        <w:tc>
          <w:tcPr>
            <w:tcW w:type="dxa" w:w="2074"/>
            <w:tcMar>
              <w:top w:w="100" w:type="dxa"/>
              <w:start w:w="120" w:type="dxa"/>
              <w:bottom w:w="100" w:type="dxa"/>
              <w:end w:w="120" w:type="dxa"/>
            </w:tcMar>
            <w:shd w:fill="E2F0D9"/>
          </w:tcPr>
          <w:p>
            <w:r>
              <w:t>Green</w:t>
            </w:r>
          </w:p>
        </w:tc>
      </w:tr>
      <w:tr>
        <w:tc>
          <w:tcPr>
            <w:tcW w:type="dxa" w:w="2074"/>
            <w:tcMar>
              <w:top w:w="100" w:type="dxa"/>
              <w:start w:w="120" w:type="dxa"/>
              <w:bottom w:w="100" w:type="dxa"/>
              <w:end w:w="120" w:type="dxa"/>
            </w:tcMar>
          </w:tcPr>
          <w:p>
            <w:r>
              <w:t>ERP finance wave</w:t>
            </w:r>
          </w:p>
        </w:tc>
        <w:tc>
          <w:tcPr>
            <w:tcW w:type="dxa" w:w="2074"/>
            <w:tcMar>
              <w:top w:w="100" w:type="dxa"/>
              <w:start w:w="120" w:type="dxa"/>
              <w:bottom w:w="100" w:type="dxa"/>
              <w:end w:w="120" w:type="dxa"/>
            </w:tcMar>
          </w:tcPr>
          <w:p>
            <w:r>
              <w:t>CFO</w:t>
            </w:r>
          </w:p>
        </w:tc>
        <w:tc>
          <w:tcPr>
            <w:tcW w:type="dxa" w:w="2074"/>
            <w:tcMar>
              <w:top w:w="100" w:type="dxa"/>
              <w:start w:w="120" w:type="dxa"/>
              <w:bottom w:w="100" w:type="dxa"/>
              <w:end w:w="120" w:type="dxa"/>
            </w:tcMar>
          </w:tcPr>
          <w:p>
            <w:r>
              <w:t>UAT 82% complete</w:t>
            </w:r>
          </w:p>
        </w:tc>
        <w:tc>
          <w:tcPr>
            <w:tcW w:type="dxa" w:w="2074"/>
            <w:tcMar>
              <w:top w:w="100" w:type="dxa"/>
              <w:start w:w="120" w:type="dxa"/>
              <w:bottom w:w="100" w:type="dxa"/>
              <w:end w:w="120" w:type="dxa"/>
            </w:tcMar>
          </w:tcPr>
          <w:p>
            <w:r>
              <w:t>Go-live, 1 Oct</w:t>
            </w:r>
          </w:p>
        </w:tc>
        <w:tc>
          <w:tcPr>
            <w:tcW w:type="dxa" w:w="2074"/>
            <w:tcMar>
              <w:top w:w="100" w:type="dxa"/>
              <w:start w:w="120" w:type="dxa"/>
              <w:bottom w:w="100" w:type="dxa"/>
              <w:end w:w="120" w:type="dxa"/>
            </w:tcMar>
            <w:shd w:fill="FFF2CC"/>
          </w:tcPr>
          <w:p>
            <w:r>
              <w:t>Amber</w:t>
            </w:r>
          </w:p>
        </w:tc>
      </w:tr>
      <w:tr>
        <w:tc>
          <w:tcPr>
            <w:tcW w:type="dxa" w:w="2074"/>
            <w:tcMar>
              <w:top w:w="100" w:type="dxa"/>
              <w:start w:w="120" w:type="dxa"/>
              <w:bottom w:w="100" w:type="dxa"/>
              <w:end w:w="120" w:type="dxa"/>
            </w:tcMar>
          </w:tcPr>
          <w:p>
            <w:r>
              <w:t>Cyber uplift</w:t>
            </w:r>
          </w:p>
        </w:tc>
        <w:tc>
          <w:tcPr>
            <w:tcW w:type="dxa" w:w="2074"/>
            <w:tcMar>
              <w:top w:w="100" w:type="dxa"/>
              <w:start w:w="120" w:type="dxa"/>
              <w:bottom w:w="100" w:type="dxa"/>
              <w:end w:w="120" w:type="dxa"/>
            </w:tcMar>
          </w:tcPr>
          <w:p>
            <w:r>
              <w:t>CIO</w:t>
            </w:r>
          </w:p>
        </w:tc>
        <w:tc>
          <w:tcPr>
            <w:tcW w:type="dxa" w:w="2074"/>
            <w:tcMar>
              <w:top w:w="100" w:type="dxa"/>
              <w:start w:w="120" w:type="dxa"/>
              <w:bottom w:w="100" w:type="dxa"/>
              <w:end w:w="120" w:type="dxa"/>
            </w:tcMar>
          </w:tcPr>
          <w:p>
            <w:r>
              <w:t>MFA at 96%</w:t>
            </w:r>
          </w:p>
        </w:tc>
        <w:tc>
          <w:tcPr>
            <w:tcW w:type="dxa" w:w="2074"/>
            <w:tcMar>
              <w:top w:w="100" w:type="dxa"/>
              <w:start w:w="120" w:type="dxa"/>
              <w:bottom w:w="100" w:type="dxa"/>
              <w:end w:w="120" w:type="dxa"/>
            </w:tcMar>
          </w:tcPr>
          <w:p>
            <w:r>
              <w:t>Privileged access closeout</w:t>
            </w:r>
          </w:p>
        </w:tc>
        <w:tc>
          <w:tcPr>
            <w:tcW w:type="dxa" w:w="2074"/>
            <w:tcMar>
              <w:top w:w="100" w:type="dxa"/>
              <w:start w:w="120" w:type="dxa"/>
              <w:bottom w:w="100" w:type="dxa"/>
              <w:end w:w="120" w:type="dxa"/>
            </w:tcMar>
            <w:shd w:fill="E2F0D9"/>
          </w:tcPr>
          <w:p>
            <w:r>
              <w:t>Green</w:t>
            </w:r>
          </w:p>
        </w:tc>
      </w:tr>
    </w:tbl>
    <w:p>
      <w:pPr>
        <w:pStyle w:val="Heading1"/>
      </w:pPr>
      <w:r>
        <w:t>Principal risks</w:t>
      </w:r>
    </w:p>
    <w:tbl>
      <w:tblPr>
        <w:tblW w:type="auto" w:w="0"/>
        <w:jc w:val="center"/>
        <w:tblLayout w:type="fixed"/>
        <w:tblLook w:firstColumn="1" w:firstRow="1" w:lastColumn="0" w:lastRow="0" w:noHBand="0" w:noVBand="1" w:val="04A0"/>
      </w:tblPr>
      <w:tblGrid>
        <w:gridCol w:w="5184"/>
        <w:gridCol w:w="5184"/>
      </w:tblGrid>
      <w:tr>
        <w:tc>
          <w:tcPr>
            <w:tcW w:type="dxa" w:w="2880"/>
            <w:shd w:fill="EAF1F7"/>
            <w:tcMar>
              <w:top w:w="120" w:type="dxa"/>
              <w:start w:w="140" w:type="dxa"/>
              <w:bottom w:w="120" w:type="dxa"/>
              <w:end w:w="140" w:type="dxa"/>
            </w:tcMar>
          </w:tcPr>
          <w:p>
            <w:r>
              <w:rPr>
                <w:b/>
                <w:color w:val="17324D"/>
              </w:rPr>
              <w:t>Supply continuity • High / Stable</w:t>
            </w:r>
          </w:p>
        </w:tc>
        <w:tc>
          <w:tcPr>
            <w:tcW w:type="dxa" w:w="7200"/>
            <w:tcMar>
              <w:top w:w="120" w:type="dxa"/>
              <w:start w:w="140" w:type="dxa"/>
              <w:bottom w:w="120" w:type="dxa"/>
              <w:end w:w="140" w:type="dxa"/>
            </w:tcMar>
          </w:tcPr>
          <w:p>
            <w:r>
              <w:t>Single-source exposure for two electronic components. Dual-source validation is due in September; twelve weeks of safety stock is in place.</w:t>
            </w:r>
          </w:p>
        </w:tc>
      </w:tr>
    </w:tbl>
    <w:tbl>
      <w:tblPr>
        <w:tblW w:type="auto" w:w="0"/>
        <w:jc w:val="center"/>
        <w:tblLayout w:type="fixed"/>
        <w:tblLook w:firstColumn="1" w:firstRow="1" w:lastColumn="0" w:lastRow="0" w:noHBand="0" w:noVBand="1" w:val="04A0"/>
      </w:tblPr>
      <w:tblGrid>
        <w:gridCol w:w="5184"/>
        <w:gridCol w:w="5184"/>
      </w:tblGrid>
      <w:tr>
        <w:tc>
          <w:tcPr>
            <w:tcW w:type="dxa" w:w="2880"/>
            <w:shd w:fill="EAF1F7"/>
            <w:tcMar>
              <w:top w:w="120" w:type="dxa"/>
              <w:start w:w="140" w:type="dxa"/>
              <w:bottom w:w="120" w:type="dxa"/>
              <w:end w:w="140" w:type="dxa"/>
            </w:tcMar>
          </w:tcPr>
          <w:p>
            <w:r>
              <w:rPr>
                <w:b/>
                <w:color w:val="17324D"/>
              </w:rPr>
              <w:t>Cyber security • High / Improving</w:t>
            </w:r>
          </w:p>
        </w:tc>
        <w:tc>
          <w:tcPr>
            <w:tcW w:type="dxa" w:w="7200"/>
            <w:tcMar>
              <w:top w:w="120" w:type="dxa"/>
              <w:start w:w="140" w:type="dxa"/>
              <w:bottom w:w="120" w:type="dxa"/>
              <w:end w:w="140" w:type="dxa"/>
            </w:tcMar>
          </w:tcPr>
          <w:p>
            <w:r>
              <w:t>No material incidents in Q2. Phishing resilience improved to 94%; privileged-access remediation remains the critical path.</w:t>
            </w:r>
          </w:p>
        </w:tc>
      </w:tr>
    </w:tbl>
    <w:tbl>
      <w:tblPr>
        <w:tblW w:type="auto" w:w="0"/>
        <w:jc w:val="center"/>
        <w:tblLayout w:type="fixed"/>
        <w:tblLook w:firstColumn="1" w:firstRow="1" w:lastColumn="0" w:lastRow="0" w:noHBand="0" w:noVBand="1" w:val="04A0"/>
      </w:tblPr>
      <w:tblGrid>
        <w:gridCol w:w="5184"/>
        <w:gridCol w:w="5184"/>
      </w:tblGrid>
      <w:tr>
        <w:tc>
          <w:tcPr>
            <w:tcW w:type="dxa" w:w="2880"/>
            <w:shd w:fill="EAF1F7"/>
            <w:tcMar>
              <w:top w:w="120" w:type="dxa"/>
              <w:start w:w="140" w:type="dxa"/>
              <w:bottom w:w="120" w:type="dxa"/>
              <w:end w:w="140" w:type="dxa"/>
            </w:tcMar>
          </w:tcPr>
          <w:p>
            <w:r>
              <w:rPr>
                <w:b/>
                <w:color w:val="17324D"/>
              </w:rPr>
              <w:t>Margin pressure • Medium / Worsening</w:t>
            </w:r>
          </w:p>
        </w:tc>
        <w:tc>
          <w:tcPr>
            <w:tcW w:type="dxa" w:w="7200"/>
            <w:tcMar>
              <w:top w:w="120" w:type="dxa"/>
              <w:start w:w="140" w:type="dxa"/>
              <w:bottom w:w="120" w:type="dxa"/>
              <w:end w:w="140" w:type="dxa"/>
            </w:tcMar>
          </w:tcPr>
          <w:p>
            <w:r>
              <w:t>Freight and promotional costs may reduce H2 margin by 30–50 bps. Pricing actions and supplier negotiations are underway.</w:t>
            </w:r>
          </w:p>
        </w:tc>
      </w:tr>
    </w:tbl>
    <w:p>
      <w:pPr>
        <w:pStyle w:val="Heading1"/>
      </w:pPr>
      <w:r>
        <w:t>Governance and next steps</w:t>
      </w:r>
    </w:p>
    <w:p>
      <w:r>
        <w:t>The Audit &amp; Risk Committee will receive the cyber deep dive on 4 September 2026. The next full Board meeting is scheduled for 16 October 2026. Management will circulate the FY2027 planning assumptions at least ten business days before that meeting.</w:t>
      </w:r>
    </w:p>
    <w:p>
      <w:pPr>
        <w:jc w:val="center"/>
      </w:pPr>
      <w:r>
        <w:rPr>
          <w:b/>
          <w:color w:val="C74634"/>
          <w:sz w:val="16"/>
        </w:rPr>
        <w:t>CONFIDENTIAL • Fictional company and illustrative figures prepared for a Board Pack product demonstration.</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BOARD PACK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2F75B5"/>
        <w:sz w:val="16"/>
      </w:rPr>
      <w:t>NORTHSTAR CONSUMER GROUP  •  Q2 FY2026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Venkateshwaran Krishnamoorthy</dc:creator>
  <keywords/>
  <dc:description>generated by python-docx</dc:description>
  <lastModifiedBy>Venkateshwaran Krishnamoorthy</lastModifiedBy>
  <revision>1</revision>
  <dcterms:created xsi:type="dcterms:W3CDTF">2026-08-31T06:06:05.8727264Z</dcterms:created>
  <dcterms:modified xsi:type="dcterms:W3CDTF">2026-08-31T06:06:05.8727264Z</dcterms:modified>
  <category/>
</coreProperties>
</file>