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bulletin de santé du végétal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1c4587"/>
          <w:rtl w:val="0"/>
        </w:rPr>
        <w:t xml:space="preserve">&lt;skos:prefLabel = ‘céréale à paille’&gt;</w:t>
      </w:r>
      <w:r w:rsidDel="00000000" w:rsidR="00000000" w:rsidRPr="00000000">
        <w:rPr>
          <w:rtl w:val="0"/>
        </w:rPr>
        <w:t xml:space="preserve">céréales à paille&lt;</w:t>
      </w:r>
      <w:r w:rsidDel="00000000" w:rsidR="00000000" w:rsidRPr="00000000">
        <w:rPr>
          <w:b w:val="1"/>
          <w:color w:val="1c4587"/>
          <w:rtl w:val="0"/>
        </w:rPr>
        <w:t xml:space="preserve">/skos:prefLabel = ‘céréale à paille’&gt;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l’évaluation du risque d’une parcelle face à un bioagresseur repose sur une observation régulière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celle-ci. pour estimer le risque de vos parcelles en cours de campagne, connaître la sensibilité de 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et les leviers agronomiques à mettre en œuvre pour abaisser ce risque, reportez-vous aux fiches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techniques présentes à la fin du bsv (accès direct en cliquant sur les liens en début de paragraphe).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des stades de sensibilité aux maladies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 parcelles du réseau ont fait l’objet d’une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 entre le 11 et le 15 mars (semaine 11).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majorité des situations est à épi 1 cm (63%).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les plus précoces, dans l’indre et l’indreet-loire, sont au stade 1 nœud (variété ½ précoce à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montaison, semée entre le 1er et le 20 octobre).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pietin verse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lien vers la fiche piétin verse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sur les 39 parcelles à au moins épi 1 cm, 6 présentent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de piétin verse : entre 1 et 3% des tiges sont atteintes (départements 28, 36 et 37). le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actuel est donc faible. une nouvelle observation du pourcentage de tiges touchées sera indispensable pour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l’ensemble des variétés sensibles lorsque le stade épi 1 cm sera atteint.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parcelles à risque agronomique (retour fréquent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, variété sensible, milieu favorable,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précoce), à partir du stade épi 1 cm et jusqu’à 2 nœuds, déterminer le pourcentage de tiges atteintes (sur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 tiges)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10 et 30% de tiges atteintes (4 et 14 tiges sur 40), la nuisibilité est variable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au-delà de 35% de tiges atteintes (≥ 14 tiges / 40), la nuisibilité est certaine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sensibles, le risque piétin verse est déterminé par les conditions agronomiques de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(cf. grille d’estimation en annexe) et la prise en compte du climat entre la levée et le stade début montaison.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l’influence du climat sur le développement du piétin verse est estimé grâce au modèle top.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pour les parcelles actuellement au stade épi 1 cm (semis les plus précoces), le risque climatique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est élevé en eure-et-loir et à l’est du loiret, et moyen dans les autres départements de 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semis tardifs, le risque climatique de la semaine est élevé en indre-et-loire (cf. graphique cidessus), moyen dans le cher et l’indre, et faible dans les autres départements de la région.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pour toutes les situations, il convient d’observer vos parcelles à partir du stade épi 1 cm.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sur les 35 parcelles à au moins épi 1 cm, 2 présentent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d’oïdium (déjà signalées les semaines précédentes)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des variétés peu sensibles (cellule et rgt ampiezzo, dans le 28 et le 45), entre 20 et 40%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f3 du moment sont touchés : le risque actuel est donc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situations à fin tallage qui sont déjà touchées par cette maladie devront faire l’objet d’une surveillance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étroite dès épi 1 cm.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épi 1 cm, en fonction des sensibilités variétales, le seuil indicatif de risque est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 : plus de 20% des 3èmes ou 2èmes ou 1ères feuilles sont atteints,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pour les autres variétés : plus de 50% des 3èmes ou 2èmes ou 1ères feuilles sont atteints.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parmi les 37 situations à au moins épi 1 cm, seule une parcelle du cher est signalée avec de la rouille jaune.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symptômes, déjà signalés la semaine dernière, ont peu évolué : 10% des f3 du moment sont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cependant, le risque reste élevé pour les variétés très sensibles (foyers visibles dans des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d’altigo et d’alixan) et plutôt faible pour les autres.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variétés très sensibles qui sont à fin tallage sont à surveiller étroitement. pour les autres, une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observation à partir du stade épi 1 cm est conseillée.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fusariose de la base de la tige signalée dans 4 parcelles (départements 28 et 36) : entre 2.5 et 10 %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tiges sont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de rhizoctone pour 4 parcelles (départements 18 et 37) : entre 1 et 8 % des tiges sont atteints.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rouille brune dans 4 parcelles (départements 18, 36 et 45) : entre 10 et 20 % des f3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sont touchés. le risque pour cette maladie est nul avant le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septoriose sur les f2 ou f3 du moment dans 31 parcelles de la région. le risque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est nul avant le stade 2 nœuds.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soupçon de viroses (non identifiée pour l’instant) dans une parcelle du cher.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dur’&gt;</w:t>
      </w:r>
      <w:r w:rsidDel="00000000" w:rsidR="00000000" w:rsidRPr="00000000">
        <w:rPr>
          <w:rtl w:val="0"/>
        </w:rPr>
        <w:t xml:space="preserve">blé dur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dur’&gt;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des stades de sensibilité aux maladies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 parcelles du réseau ont fait l’objet d’une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 entre le 11 et le 15 mars (semaine 11).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majorité des parcelles est au stade épi 1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(54%). les parcelles les plus précoces, dans le loiret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le loir-et-cher, sont à 1 nœud.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aucune des 12 parcelles observées cette semaine ne présente de symptômes. le risque actuel est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 pour les variétés assez sensibles à résistantes. attention toutefois aux variétés très sensibles (ex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plussur, luminur).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piétin verse : symptômes dans une parcelle du loir-et-cher (stade 1 nœud) déjà signalée la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précédente : 5% des tiges sont touchés. le risque est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oïdium sur 20% des f3 du moment dans une parcelle du loiret (variété relief) : le risque actuel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septoriose signalée sur les f3 du moment de 4 parcelles (dans le 28, 41 et 45). le risque pour cette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maladie est nul avant le stade 2 nœuds.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le 11 et le 15 mars (semaine 11), 42 parcelles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 ont fait l’objet d’une observation.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majorité d’entre elles est à épi 1 cm (52%).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la semaine précédente, la situation la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précoce, dans le loiret, est au stade 1 nœud (etincel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semée le 19 octobre).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épi 1 cm. aucune des 11 parcelles à au moins épi 1 cm ne présente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symptômes d’oïdium : le risque est donc faible pour ce type de situations (variétés assez sensibles à peu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sensibles).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indicatif de 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épi 1 cm,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variétés sensibles : si plus de 20% des 3èmes ou 2èmes ou 1ères feuilles sont couvertes à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5% de la surface des feuilles par un feutrage blanc.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autres variétés : si plus de 50% des 3èmes ou 2èmes ou 1ères feuilles touchées sont couvertes à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plus de 5% de la surface des feuilles par un feutrage blanc.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rhynchosporiose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lien vers la fiche rhynchosporiose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21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(11 parcelles) sont à surveiller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attentivement dans les jours à venir.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 et plus de 5 jours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précipitations supérieures à 1 mm depuis le stade 1 nœud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autres variétés : si plus de 10% de feuilles atteintes et plus de 7 jours avec des précipitations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supérieures à 1 mm depuis le stade 1 nœud.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pluies annoncées pour la semaine sont faibles à nulles. le risque de nouvelles contaminations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rhynchosporiose resterait donc faible.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helminthosporiose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lien vers la fiche helminthosporiose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22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(18 parcelles) sont à surveiller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attentivement dans les jours à venir.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• pour les autres variétés : si plus de 25% de feuilles atteintes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variations journalières des températures et les hygrométries annoncées seront favorables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développement de l’helminthosporiose. le risque pourrait augmenter dans les jours à venir, notamment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pour les parcelles déjà touchées. les variétés sensibles sont à surveiller en priorité.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rouille naine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lien vers la fiche rouille naine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est nul avant le stade 1 nœud. aucune des 16 parcelles observées cette semaine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 n’a atteint ce stade. les situations présentant déjà des symptômes (4 parcelles) sont à surveiller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attentivement dans les jours à venir. rappel : le risque dépend principalement de la sensibilité variétale.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seuil de nuisibilité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du stade 1 nœud, compter les 3 feuilles supérieures de 20 tiges principales (soit 60 feuilles)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pour les variétés sensibles : si plus de 10% de feuilles atteintes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• pour les autres variétés : si plus de 50% de feuilles atteintes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l’augmentation des températures et le maintien de l’hygrométrie seront favorables à la rouille naine. 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variétés sensibles à peu sensibles doivent donc être surveillées en priorité.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autres maladies /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mosaïque de l’orge est signalée dans une parcelle de l’indre, à issoudun (variété isocel). au moins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20% de la parcelle présente des symptômes répartis de manière hétérogène.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 d’hiver”&gt;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contexte d’observations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du réseau ont été observées entre 11 et le 15 mars (semaine 11). 2 d’entre elles sont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 tallage (dans le cher et le loir-et-cher), 2 sont à épi 1 cm (dans l’indre et l’indre-et-loire) et la situation la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plus précoce, dans l’indre, est toujours à 1 nœud.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maladies /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augmentation des symptômes d’oïdium dans la parcelle précoce de l’indre : 20% des f2 et 70% des f3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 sont touchés. le risque se maintiendra dans les jours à venir. pour les parcelles qui sont encore à fin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tallage, une observation sera indispensable à partir du stade épi 1 cm pour évaluer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symptômes de septoriose sont signalées dans le loir-et-cher et le cher (stade fin tallage).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dernière parcelle, de la rouille brune est également présente. le risque pour ces maladies est nul avant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stade 2 nœuds.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des stades de sensibilité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aux maladies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on observe généralement les symptômes de la montaison à la maturité.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gaine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tache ocellée (elliptique). la tache est bordée par un liseré brun diffus. après avoir soulevé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successivement les gaines, on observe un ou plusieurs points noirs sur la tige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correspondant à des amas mycéliens (stromas).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épi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echaudage de l’ensemble de l’épi présentant une répartition aléatoire dans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tige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plus souvent une seule tache, plus rarement deux. la limite de la tache est peu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délimitée, diffuse. elle se situe en général sous le premier nœud.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plante entière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verse possible à maturité en cas de forte attaque.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pluviométrie élevée et les températures douces pendant l’automne et l'hiver favorisent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l’évolution de la maladie. le modèle climatique top permet d’estimer le risque annuel.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evaluation du risque agronomique à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l’estimation du risque piétin verse est largement déterminée par les conditions agronomiques de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(potentiel infectieux, milieu physique, variété et date de semis) et la prise en compte du climat de la levée du blé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jusqu’au début montaison. une estimation est possible à partir de la grille ci-après.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notes de résistance attribuées par le geves à l’inscription des variétés ont déjà montré leur validité. ainsi,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aux notes supérieures ou égales à 5 ne justifient pas d’une protection spécifique piétin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grille nationale d’évaluation du risque piétin verse avec prise en compte du climat de l’hiver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potentiel infectieux du sol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travail du sol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méthode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prélever au champ (20 ou) 50 tiges issues de 10 points de prélèvement en parcourant une parcelle en diagonale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retirer la terre et laver la base des tiges  observer les symptômes, classer les tiges et compter les tiges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atteintes  calculer le % de tiges atteintes.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oïdium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dès le stade 3 feuilles, le plus souvent entre fin tallage et 2 nœuds. peut ensuite progresser sur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feuilles et l’épi.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répartition homogène dans le champ (dissémination par le vent).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l’attaque commence par les feuilles les plus basses, sur les gaines et les limbes.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développement rapide même à basse température (5°c).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touffes blanches, cotonneuses, éparses sur toute la feuille (face supérieure) qui deviennent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brunes et grises. après quelques temps, apparition de ponctuations noires (cleistothèces).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après rinçage par les pluies, il reste des traces des attaques sous forme de taches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chlorotiques sur la feuille.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l’épi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touffes blanches, cotonneuses, sur les bords des glumelles, barbes.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favorisé par une longue alternance de périodes avec et sans pluies. une forte pluie peut laver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mycélium présent sur les feuilles.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l’oïdium n’est plus une maladie dominante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  <w:t xml:space="preserve"> mais des différences de tolérance variétales existent.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références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tendre”&gt;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l’oïdium n’est pas une maladie dominante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dur’&gt;</w:t>
      </w:r>
      <w:r w:rsidDel="00000000" w:rsidR="00000000" w:rsidRPr="00000000">
        <w:rPr>
          <w:rtl w:val="0"/>
        </w:rPr>
        <w:t xml:space="preserve">blé dur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dur’&gt;</w:t>
      </w:r>
      <w:r w:rsidDel="00000000" w:rsidR="00000000" w:rsidRPr="00000000">
        <w:rPr>
          <w:rtl w:val="0"/>
        </w:rPr>
        <w:t xml:space="preserve">. les différences de tolérance variétales sont peu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marquées. l’oïdium est très lié à un excès d’azote précoce ou à un excès de végétation.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 dur”&gt;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rouille jaune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généralement de 1 nœud à dernière feuille, plus rarement au stade tallage.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1ères pustules localisées sur les feuilles du bas de quelques plantes dans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foyers de petite surface, jaunes de loin, nettement délimités. si climat favorable,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infestation possible de toute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feuilles supérieures, pustules jaunes parfois orangées, de petite taille, alignées 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nervures, jusqu’à dessiner des stries (observables avec une loupe de poche).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remarque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taches chlorotiques allongées dans le sens des nervures sans pustules peuvent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également être rencontrées (pustules encore en incubation).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un stade avancé, les stries jaunes cèdent la place à des pustules noires (téleutosores).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l’épi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sous les glumes, spores sur le grain et la face intérieure des glumelles.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parfois décoloration des épillets.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printemps frais et humide, avec des températures moyennes modérées (10 à 15 °c). les températures élevées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défavorables à la maladie.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les températures négatives stoppent l’activité de la maladie, mais ne détruisent pas l’inoculum. les hivers doux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généralement favorables.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méthode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prélever 20 plantes  n’observer que les tiges les plus développées (maître brin) de chaque plante  observer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3 dernières feuilles développées du moment (les plus jeunes formées, limbe déroulé)  compter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séparément le nombre de f3, f2, f1 touchées  convertir chaque nombre en %.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résistances des variétés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plusieurs types de résistances à la rouille jaune existent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celles qui s’expriment dès le stade plantule (efficaces tout au long du cycle de la culture).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celles qui se mettent en place au stade adulte (une fois un certain stade de développement atteint,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généralement autour du stade gonflement). les variétés correspondantes peuvent être sensibles durant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tallage ou le début de la montaison, puis résistantes par la suite.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notes attribuées à chaque variété représentent les niveaux de résistance « au stade plantule + adulte ».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assez résistantes ou résistantes peuvent donc présenter des pustules avant le stade gonflement, sans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qu’il s’agisse d’un contournement de gènes. malgré une priorité à donner aux variétés les plus sensibles,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de tout son parcellaire peut ainsi être judicieuse. toutefois, la nuisibilité d’une attaque précoce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telles variétés sera moins importante, pour une même intensité, que sur des variétés sensibles.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echelle de la résistance des variétés de blé tendre à la rouille jaune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: arvalis - institut du végétal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références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rhynchosporiose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apparition possible dès l’automne et l’hiver mais ce n’est qu’entre les stades 1 nœud et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gonflement que cette maladie devient nuisible.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limbe se décolore par taches qui prennent une coloration « vert de gris » pour blanchir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progressivement au centre. elles se développent pour former des taches irrégulières,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centre clair et à périphérie brun foncé. elles se rejoignent ensuite et s’imbriquent les unes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autres. les attaques sont fréquentes à la base du limbe, sur les ligules et sur 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gaines.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 fréquentes et températures fraîches pendant la montaison. l’élévation des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températures vers la fin de la montaison ralentit son développement.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helminthosporiose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n’est pas rare d’observer des symptômes en automne. cependant, cette maladie 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devient nuisible qu’à partir du stade 1 nœud.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coloration brun foncé des deux faces. halo jaune non systématique mais caractéristique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maladie. les symptômes longent généralement les nervures. deux formes distinctes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symptômes existent : en réseau et linaire, ou en tache ovale.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douces, les variations brutales de températures, une humidité élevée et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lumière sont favorables à la sporulation et/ou à la germination. les spores sont véhiculées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par le vent.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rouille naine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stades d’apparition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généralement à la fin de la montaison pour les variétés sensibles. des pustules peuvent être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observées en hiver, en particulier si celui-ci est très doux et les semis précoces.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symptômes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 la parcelle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répartition est homogène dans la parcelle (dissémination par le vent).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l’échelle des feuilles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pustules allant du brun au brun orangé, dispersées sur la feuille, essentiellement sur la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supérieure. les quelques pustules du début d’attaque peuvent générer des centaines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pustules, si le climat est chaud et humide.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conditions climatiques favorables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champignon a besoin d'eau libre pour la germination des spores et son cycle est favorisé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par des températures comprises entre 15 et 20°c.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“céréale à paille”&gt;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