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bulletin de santé du végétal - auvergne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n°36 du 15/10/2014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début de présence relativement généralisée de charançons du bourgeon terminal.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2014 - 2015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 des 18 parcelles déclarées à ce jour dans le réseau auvergne ont fait l'objet d'observations en ce début de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semaine du 12 au 14 octobre 2014.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stade des cultures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développement végétatif automnal des cultures se poursuit à la faveur de conditions douces et humides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"poussantes". toutes les parcelles observées en ce début de semaine ont ainsi dépassé le stade 3 feuilles et une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majorité le stade 6 feuilles, en se répartissant ainsi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(7 %) au stade 4 feuilles (b4 - bbch14),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- 1 parcelle (7 %) au stade 5 feuilles (b5 - bbch15),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- 7 parcelles (50 %) au stade 6 feuilles (b6 - bbch16),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- 3 parcelles (22 %) au stade 7 feuilles (b7 - bbch17),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- 2 parcelles (14 %) au stade 8 feuilles (b8 - bbch18).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observations ravageurs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vol se généralise : on cumule depuis le dernier relevé de 1 à 49 captures dans 13 des 14 parcelles ayant fait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l'objet d'un relevé du piège sur végétation, avec plus de 10 captures dans 5 cas, le cumul le plus élevé (49 prises)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étant obtenu dans une parcelle du puy de dôme. si de nouvelles arrivées sont encore possibles, on peut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considérer entrer en période de risque avéré sur la région, comme c'est également le cas dans les régions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proches.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maintenir une observation régulière des pièges sur végétation pour détecter les nouvelles arrivées.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mémoire, il n’y a pas de seuil de risque pour ce ravageur mais étant donné sa nuisibilité potentielle - destruction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cœur par les larves - et l'impossibilité de les contrôler directement, il est considéré que la seule présence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adultes sur les parcelles - détectée au moment du vol par les captures dans les pièges sur végétation - constitue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risque, pour une période s’étalant de la présence de femelles aptes à pondre à l’automne (10 à 15 jours après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captures) au décollement du bourgeon, à reprise de végétation. a partir de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maturation des femelles les pontes s'accumulent progressivement dans les pétioles accentuant le risque dans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par accroissement des populations larvaires. les larves se développent d'abord dans les pétioles puis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peuvent passer dans les cœurs, sachant qu'un faible développement végétatif automnal accentue ce risque à la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fois de passage et de destruction des bourgeons terminaux alors qu'un fort développement le minimise.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nb : attention de ne pas confondre les captures de charançons du bourgeon terminal avec celles de baris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toujours possibles dont la forme se distingue facilement : voir illustration dans les précédents bsv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altise d'hiver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1 à 32 captures cumulées depuis le dernier relevé sont obtenues dans 8 des 10 parcelles ayant fait l'objet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d'un relevé du piège enterré, signifiant une poursuite de l'activité des adultes.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 le stade des cultures (plus de 3 feuilles) affranchit du risque adulte (prélèvement de surface foliaire), 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conviendra d'évaluer en temps utile le risque larvaire, notamment dans les parcelles du puy de dôme montrant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plus fortes activités adultes, sachant que le contrôle éventuel du charançon du bourgeon terminal pourra avoir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un arrière effet sur les adultes encore en activité et sur les premières infestations larvaires.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sachant qu'une majorité de parcelles a maintenant dépassé le stade 6 feuilles / 6 semaines de végétation,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considérée comme la plus propice à la transmission des viroses, la pression pucerons demeure faible,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aucune présence de pucerons cendrés, 1 parcelle avec 10 % de plantes avec présence de pucerons du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navet et 1 parcelle avec 10 % de plantes avec présence de pucerons verts, pour 11 parcelles ayant fait l'objet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d'une observation pucerons spécifique.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mémoire, sur la période 6 premières semaines de végétation assimilées à l'acquisition de 6 feuilles depuis la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levée, le seuil de risque est fixé à 20% de plantes porteuses de pucerons.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ff00ff"/>
          <w:rtl w:val="0"/>
        </w:rPr>
        <w:t xml:space="preserve">&lt;paraConstruit&gt;</w:t>
      </w: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présence limitée de dégât est rapportée sur 5 des 10 parcelles ayant fait l'objet d'une notation spécifique,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avec un risque minimisé par le développement atteint des cultures observées. demeurer néanmoins vigilant sur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parcelles n'ayant pas atteint 6 feuilles.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mémoire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vis-à-vis des larves: depuis la levée jusqu’au stade 6 feuilles mais généralement plutôt entre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et 6 feuilles en cas de population larvaire importante.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: présence de larves en nombre important entrainant des dégâts sur feuilles supérieurs au ¼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de la surface végétative.</w:t>
      </w:r>
      <w:r w:rsidDel="00000000" w:rsidR="00000000" w:rsidRPr="00000000">
        <w:rPr>
          <w:b w:val="1"/>
          <w:color w:val="ff00ff"/>
          <w:rtl w:val="0"/>
        </w:rPr>
        <w:t xml:space="preserve">&lt;/paraConstruit&gt;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b w:val="1"/>
          <w:color w:val="ff9900"/>
          <w:rtl w:val="0"/>
        </w:rPr>
        <w:t xml:space="preserve">&lt;/cultureManu=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