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8e7cc3"/>
          <w:rtl w:val="0"/>
        </w:rPr>
        <w:t xml:space="preserve">&lt;cultureGlobale 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retenir cette semaine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- 4% des parcelles n’ont pas encore atteint le stade 3 feuilles et nécessitent encore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une surveillance vis-à-vis des altises.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la présence de pucerons verts a augmenté par rapport à la semaine dernière.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- on signale les toutes premières captures de charançon du bourgeon terminal principalement en côte d’or mais également dans l’yonne. relever régulièrement vos cuvettes.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réseau 2014-2015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réseau 2014-2015 continue de se constituer. il y a aujourd’hui 60 parcelles de déclarées sous vigiculture pour le réseau bsv bourgogne. le bsv de cette semaine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est réalisé à partir d’observations faites sur 52 parcelles du réseau ainsi que de remontées terrains.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stade des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prévisions météorologiques du mercredi 01 au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mardi 07 octobre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seulement 4% des parcelles n’ont pas encore atteint 3 feuilles. les parcelles les plus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avancées sont maintenant à 10 feuilles. on note de fortes hétérogénéités de stade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intra parcellaire principalement dans les terres très argileuses (yonne et nièvre).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rappel : un stade est atteint lorsque 50% des plantes sont à ce stade.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période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ensoleillée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jusqu’à samedi avant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l’installation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d’un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temps couvert et un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 d’averses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pluies faibles.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températures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devraient rester douces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pour la saison avec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températures minimales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comprises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entre 9 et 12°c et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maximales se situant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autour de 20°c source : météociel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grandes cultures n° 4 du 30 septembre 2014</w:t>
      </w:r>
    </w:p>
    <w:p w:rsidR="00000000" w:rsidDel="00000000" w:rsidP="00000000" w:rsidRDefault="00000000" w:rsidRPr="00000000">
      <w:pPr>
        <w:contextualSpacing w:val="0"/>
        <w:rPr>
          <w:b w:val="1"/>
          <w:color w:val="ff00ff"/>
        </w:rPr>
      </w:pPr>
      <w:r w:rsidDel="00000000" w:rsidR="00000000" w:rsidRPr="00000000">
        <w:rPr>
          <w:rtl w:val="0"/>
        </w:rPr>
        <w:t xml:space="preserve">codification des stades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puceron vert du pécher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période de risque jusqu’au stade 6 feuilles de la culture, correspondant à la période de risque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transmission des viroses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 20% de plantes portant des pucerons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faible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36 parcelles renseignées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pucerons verts sont observés cette semaine dans près d’une situation sur deux. leur présence est signalée en moyenne sur près de 25% des plantes dans les situations où on les observe (mais pouvant aller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jusqu’à 70% de pieds porteurs). cette progression est confirmée par les captures d’ailés à la tour à succion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d’auxerre.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relevés sur plaques engluées signalent la présence de pucerons virulifères.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même si 50% des parcelles sont sorties de la période de risque (plus de 6 feuilles), il est important de bien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prendre en compte la variabilité observée à l’intérieur d’une même parcelle pour évaluer le risque.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une parcelle avec quelques colonies de pucerons cendrés a été observée à vignoles (21).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charançon du bourgeon terminal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l’adulte a un corps noir et brillant. on observe des tâches latérales blanches entre le thorax et l’abdomen.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extrémités des pattes sont rousses. les dégâts sont occasionnés par des larves qui endommagent 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bourgeon terminal. suite à ces attaques, au printemps le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présente un port buissonnant.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période de risque du développement des premières larves jusqu’au décollement du bourgeon terminal. la lutte contre les larves étant impossible, c’est l’arrivée des adultes qui va déclencher le début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période de risque. la cuvette jaune est indispensable pour effectuer ce piégeage.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 il n’y a pas de seuil de risque. etant donné la nuisibilité potentielle de cet insecte,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il est considéré que seule sa présence sur les parcelles est un risque. par contre les femelles sont rarement aptes à pondre dès leur arrivée sur les parcelles. la durée de maturation étant variable, on retient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 délai de 10 à 15 jours après les premières captures. le risque est d’autant plus important sur 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à faible croissance.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faible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49 parcelles renseignées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toutes premières captures (1 à 3 individus) ont été enregistrées sur 7 sites principalement en côte d’or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(thenissey – thorey-sous-charny – bretigny – bligny-sur-ouche) et dans l’yonne (nitry – saint-mauriceaux-riches-hommes – sergines).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parallèlement à ce réseau de captures, des suivis de ponte sont mis en place afin d’évaluer au mieux 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tenthrède de la rave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période de risque depuis la levée jusqu’au stade 6 feuilles, mais généralement plutôt entre 3 et 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feuilles en cas de population larvaire importante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 présence de larves avec des dégâts sur feuilles supérieures au ¼ de la surface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végétative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risque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faible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34 parcelles renseignées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larves sont signalées dans 2 situations avec au maximum 5% de la surface foliaire détruite.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dégâts sont généralement peu importants sauf si les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colzas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végètent. en conditions favorables, s’il y 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présence de larves, les dégâts apparents – jusqu’alors anodins – évoluent rapidement dans les jours qui suivent.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grandes cultures n° 4 du 30 septembre 2014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altises d’hiver ou grosses altises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ce ravageur peut occasionner des dégâts à deux phases de son cycle 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 : à la fin de l’été, sur les jeunes cultures, les adultes reprennent leur activité pour s’alimenter et pour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pondre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 : en automne-hiver, les larves creusent des galeries d’abord dans les pétioles des feuilles, puis dans 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cœurs des plantes au stade « </w:t>
      </w:r>
      <w:r w:rsidDel="00000000" w:rsidR="00000000" w:rsidRPr="00000000">
        <w:rPr>
          <w:b w:val="1"/>
          <w:color w:val="1c4587"/>
          <w:rtl w:val="0"/>
        </w:rPr>
        <w:t xml:space="preserve">&lt;skos:prefLabel = ‘rosette’&gt;</w:t>
      </w:r>
      <w:r w:rsidDel="00000000" w:rsidR="00000000" w:rsidRPr="00000000">
        <w:rPr>
          <w:rtl w:val="0"/>
        </w:rPr>
        <w:t xml:space="preserve">rosette</w:t>
      </w:r>
      <w:r w:rsidDel="00000000" w:rsidR="00000000" w:rsidRPr="00000000">
        <w:rPr>
          <w:b w:val="1"/>
          <w:color w:val="1c4587"/>
          <w:rtl w:val="0"/>
        </w:rPr>
        <w:t xml:space="preserve">&lt;/skos:prefLabel = ‘rosette’&gt;</w:t>
      </w:r>
      <w:r w:rsidDel="00000000" w:rsidR="00000000" w:rsidRPr="00000000">
        <w:rPr>
          <w:rtl w:val="0"/>
        </w:rPr>
        <w:t xml:space="preserve"> » ou dans les jeunes tiges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période de risque depuis la levée jusqu’au stade 3 feuilles dans le cadre du risque adultes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 8 pieds sur 10 portants des morsures sans dépasser le ¼ de la surface végétative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 30 captures cumulées en cuvette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15 parcelles renseignées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dégâts sur feuille semblent se stabiliser en lien avec l’évolution des stades. mais des captures sont toujours signalées dans 9 situations avec entre 2 et 35 individus piégés. la surveillance reste nécessaire pour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toutes les parcelles n’ayant pas atteint le stade 3 feuilles. pour les autres, il faudra suivre la présence 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larves dans les prochaines semaines.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altises des crucifères ou petites altises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période de risque depuis la levée jusqu’au stade 3 feuilles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seuil de nuisibilité 8 pieds sur 10 portants des morsures, sans dépasser le ¼ de la surface végétative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13 parcelles renseignées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présence d’altises est en diminution sur l’ensemble du réseau. des dégâts sont signalés uniquement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dans 3 situations. les parcelles les plus à risque restent celles qui n’ont pas encore atteint 3 feuilles et surtout les zones de bordures d’anciennes parcelles de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en cours de destruction.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baris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 captures de baris continuent d’être régulièrement signalées. les adultes peuvent être observés tout au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long du cycle du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(voir identification ci-après).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phoma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36 parcelles renseignées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les premières macules de phoma ont été observées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sur 4 parcelles à courban, saint-rémy, planay (21) et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saint-martin-sur-ouanne (89) sur 5 à 20% des plantes.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 risque phoma n’existe que lorsque plusieurs conditions sont réunies :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  <w:t xml:space="preserve"> classé peu sensible (ps), pic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 sporulation maximal enregistré alors que les plantes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sont peu développées (moins de 6 feuilles) et donc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sensibles ou bien si on cumule plusieurs facteurs aggravants (forte densité, mulch de pailles en surface, qui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conduisent à une élongation de l’hypocotyle, excès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d’eau).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retrouvez le classement phoma de l’ensemble des variétés de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 d’hiver’&gt;</w:t>
      </w:r>
      <w:r w:rsidDel="00000000" w:rsidR="00000000" w:rsidRPr="00000000">
        <w:rPr>
          <w:rtl w:val="0"/>
        </w:rPr>
        <w:t xml:space="preserve">colza d’hiver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 d’hiver’&gt;</w:t>
      </w:r>
      <w:r w:rsidDel="00000000" w:rsidR="00000000" w:rsidRPr="00000000">
        <w:rPr>
          <w:rtl w:val="0"/>
        </w:rPr>
        <w:t xml:space="preserve"> dans le guide de culture </w:t>
      </w:r>
      <w:r w:rsidDel="00000000" w:rsidR="00000000" w:rsidRPr="00000000">
        <w:rPr>
          <w:b w:val="1"/>
          <w:color w:val="1c4587"/>
          <w:rtl w:val="0"/>
        </w:rPr>
        <w:t xml:space="preserve">&lt;skos:prefLabel = ‘colza’&gt;</w:t>
      </w:r>
      <w:r w:rsidDel="00000000" w:rsidR="00000000" w:rsidRPr="00000000">
        <w:rPr>
          <w:rtl w:val="0"/>
        </w:rPr>
        <w:t xml:space="preserve">colza</w:t>
      </w:r>
      <w:r w:rsidDel="00000000" w:rsidR="00000000" w:rsidRPr="00000000">
        <w:rPr>
          <w:b w:val="1"/>
          <w:color w:val="1c4587"/>
          <w:rtl w:val="0"/>
        </w:rPr>
        <w:t xml:space="preserve">&lt;/skos:prefLabel = ‘colza’&gt;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 cetiom et sur www.myvar.fr.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photo cetiom : macules de phoma sur feuilles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8e7cc3"/>
          <w:rtl w:val="0"/>
        </w:rPr>
        <w:t xml:space="preserve">&lt;/cultureGlobale = “colza”&gt;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