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début timide du vol du 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macules de phoma sont de plus en plus présentes sur les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pucerons verts sont toujours observés en quantité importante et le risque existe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parcelles de moins de 7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- 2% des parcelles n’ont pas encore atteint le stade 3 feuilles et nécessitent encore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surveillance vis-à-vis des altises.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2014-2015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2014-2015 continue de se constituer. il y a aujourd’hui 64 parcelles de déclarées sous vigiculture pour le réseau bsv bourgogne. le bsv de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 réalisé à partir d’observations faites sur 54 parcelles du réseau ainsi que de remontées terrains.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 mardi 14 octobre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perturbations traversant la région vont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succéder pouvant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apporter des quantités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températures devraient rester très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douces avec des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11 et 13°c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maximales comprises entre 18 et 20°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- source : météociel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seulement 2% des parcelles n’ont pas encore atteint 3 feuilles. les parcelles les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avancées sont maintenant à plus de 10 feuilles. la croissance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est favorisée par les conditions climatiques actuelles à savoir des pluies accompagnées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 très douces. on note toujours de fortes hétérogénéités de stade intra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parcellaire principalement dans les terres très argileuses (yonne et nièvre).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5 du 07 octobre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codification des stades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tâches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extrémités des pattes sont rousses. les dégâts sont occasionnés par des larves qui endommagent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bourgeon terminal. suite à ces attaques,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un port buissonnant.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du développement des premières larves jusqu’au décollement du bourgeon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terminal. la lutte contre les larves étant impossible, c’est l’arrivée des adultes qui va déclencher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début de la période de risque. la cuvette jaune est indispensable pour effectuer ce piégeage.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il n’y a pas de seuil de risque. etant donné la nuisibilité potentielle de cet insecte, il est considéré que seule sa présence sur les parcelles est un risque. par contre les femelles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rarement aptes à pondre dès leur arrivée sur les parcelles. la durée de maturation étant variable, on retient un délai de 10 à 15 jours après les premières captures. le risque est d’autant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sur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51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l’ensemble de la région, les captures ont été observées sur moins de la moitié des parcelles (40%).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 débute donc timidement avec en moyenne 4 individus piégés par cuvette. le faible piégeage de charançon du bourgeon terminal ne signifie pas « absence de risque » même si actuellement les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climatiques ne sont pas favorables à l’activité de ce ravageur.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parallèlement à ce réseau de captures, des suivis de ponte sont mis en place afin d’évaluer au mieux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premières captures remontent à la semaine dernière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parcelles pour lesquelles aucune capture n’a été détectée ou bien les captures ont été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réalisées depuis moins d’une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5 du 07 octobre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 vert du pécher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jusqu’au stade 6 feuilles de la culture, correspondant à la période de risque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20% de plantes portant des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présence des pucerons verts est stable par rapport à la semaine dernière et concerne une parcelle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deux. leur présence est signalée en moyenne sur près de 20% des plantes dans les situations où on les observe (mais pouvant aller jusqu’à 80% de pieds porteurs). cette semaine, à la tour à succion d’auxerre,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captures d’ailés ont régressé.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relevés sur plaques engluées signalent la présence de pucerons virulifères.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même si 75% des parcelles sont sorties de la période de risque (plus de 6 feuilles), il est important de bien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 la variabilité observée à l’intérieur d’une même parcelle pour évaluer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6 feuilles,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larves sont signalées dans 1 situation avec au maximum 12%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dans des conditions favorables,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s’il y a présence de larves, les dégâts apparents – jusqu’alors anodins – évoluent rapidement dans les jours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 suivent.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altises d’hiver ou grosses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ravageur peut occasionner des dégâts à deux phases de son cycle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: à la fin de l’été, sur les jeunes cultures, les adultes reprennent leur activité pour s’alimenter et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: en automne-hiver, les larves creusent des galeries d’abord dans les pétioles des feuilles, puis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cœurs des plantes au stade « </w:t>
      </w:r>
      <w:r w:rsidDel="00000000" w:rsidR="00000000" w:rsidRPr="00000000">
        <w:rPr>
          <w:b w:val="1"/>
          <w:color w:val="1c4587"/>
          <w:rtl w:val="0"/>
        </w:rPr>
        <w:t xml:space="preserve">&lt;skos:prefLabel = ‘rosette’&gt;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b w:val="1"/>
          <w:color w:val="1c4587"/>
          <w:rtl w:val="0"/>
        </w:rPr>
        <w:t xml:space="preserve">&lt;/skos:prefLabel = ‘rosette’&gt;</w:t>
      </w:r>
      <w:r w:rsidDel="00000000" w:rsidR="00000000" w:rsidRPr="00000000">
        <w:rPr>
          <w:rtl w:val="0"/>
        </w:rPr>
        <w:t xml:space="preserve"> » ou dans les jeunes tiges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 8 pieds sur 10 portants des morsures sans dépasser le ¼ de la surface 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 30 captures cumulées en cuvette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du nombre de plantes avec dégâts, il est important de déterminer la surface végétative endommagée.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sur feuille semblent se stabiliser en lien avec l’évolution des stades. mais des captures sont toujours signalées dans 9 situations avec entre 2 et 35 individus piégés. la surveillance reste nécessaire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n’ayant pas atteint le stade 3 feuilles. pour les autres, il faudra suivre la présence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larves dans les prochaines semaines.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régulièrement signalées. on en signale cette semaine dans plus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90% des cuvettes avec des captures allant de 1 à 13 individus. la nuisibilité de ce ravageur est mal connue.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c’est un des facteurs favorisant les pieds secs à maturité.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adultes peuvent être observés tout au long du cycle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ci-dessous).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39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plantes présentant des macules de phoma sont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progression cette semaine. dans 40% des parcelles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en moyenne 10% de pieds touchés.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 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sporulation maximal enregistré alors que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peu développées (moins de 6 feuilles) et donc sensibles ou bien si on cumule plusieurs facteurs aggravants (forte densité, mulch de pailles en surface,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conduisent à une élongation de l’hypocotyle, excès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cetiom et sur www.myvar.fr.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photo cetiom : macules de phoma sur feuilles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pour lesquelles les facteurs de risque sont réunis (variété classée peu sensible,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 développées de moins de 6 feuilles…)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les autres situations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