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8e7cc3"/>
          <w:rtl w:val="0"/>
        </w:rPr>
        <w:t xml:space="preserve">&lt;cultureGlobale = “colza+blé+orge+pois+moutarde”&gt;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grandes cultures n° 1 du 8 septembre 2010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ce jour, le risque est réel pour les colzas peu développés (b3 à b5) et n'ayant fait l'objet d'aucun protection.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grandes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cultures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n° 20la 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 avrilcomplète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2011 du bourgeon terminal est rarepour les colzas plus développés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(supérieurs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à b6-b7)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destruction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ment observée, le risque peut donc être considère comme moyen à faible.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retenir cette semaine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grande majorité de parcelle avec des  </w:t>
      </w:r>
      <w:r w:rsidDel="00000000" w:rsidR="00000000" w:rsidRPr="00000000">
        <w:rPr>
          <w:b w:val="1"/>
          <w:color w:val="1c4587"/>
          <w:rtl w:val="0"/>
        </w:rPr>
        <w:t xml:space="preserve">&lt;skos:prefLabel = ‘fleur’&gt;</w:t>
      </w:r>
      <w:r w:rsidDel="00000000" w:rsidR="00000000" w:rsidRPr="00000000">
        <w:rPr>
          <w:rtl w:val="0"/>
        </w:rPr>
        <w:t xml:space="preserve">fleurs</w:t>
      </w:r>
      <w:r w:rsidDel="00000000" w:rsidR="00000000" w:rsidRPr="00000000">
        <w:rPr>
          <w:b w:val="1"/>
          <w:color w:val="1c4587"/>
          <w:rtl w:val="0"/>
        </w:rPr>
        <w:t xml:space="preserve">&lt;/skos:prefLabel = ‘fleur’&gt;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avec le développement rapide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le risque méligèthes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s’estompe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signalement de quelques dégâts de charançons de la tige du colza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premiers charançons des siliques piégés mais sans incidence car stade de sensibilité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pas atteint (à partir du stade g2)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réseau 2010-2011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cette semaine, 53 parcelles ont fait l’objet d’au moins une observation.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prévisions météorologiques du mercredi 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 mardi 12 avril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temps très ensoleillé et sec pendant toute cette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période. les températures sont 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hausse avec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minimales ne descendant pas 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dessous de 9°c 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maximales atteignant 20 à 22°c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(source météociel).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rappel : un stade est atteint lorsque 50% des plantes sont à ce stade.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conditions climatiques estivales de la semaine dernière ont permis une accélération des stades et a fortiori dans les secteurs qui ont eu la chance de bénéficier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d1 boutons accolés encore cachés par les feuilles terminales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: 2%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d2 inflorescence principale dégagée, boutons accolés, inflorescences secondaires visibles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: 8%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e boutons séparés, les pédoncules floraux s’allongent en commençant par ceux de la périphérie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: 66%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f1 premières </w:t>
      </w:r>
      <w:r w:rsidDel="00000000" w:rsidR="00000000" w:rsidRPr="00000000">
        <w:rPr>
          <w:b w:val="1"/>
          <w:color w:val="1c4587"/>
          <w:rtl w:val="0"/>
        </w:rPr>
        <w:t xml:space="preserve">&lt;skos:prefLabel = ‘fleur’&gt;</w:t>
      </w:r>
      <w:r w:rsidDel="00000000" w:rsidR="00000000" w:rsidRPr="00000000">
        <w:rPr>
          <w:rtl w:val="0"/>
        </w:rPr>
        <w:t xml:space="preserve">fleurs</w:t>
      </w:r>
      <w:r w:rsidDel="00000000" w:rsidR="00000000" w:rsidRPr="00000000">
        <w:rPr>
          <w:b w:val="1"/>
          <w:color w:val="1c4587"/>
          <w:rtl w:val="0"/>
        </w:rPr>
        <w:t xml:space="preserve">&lt;/skos:prefLabel = ‘fleur’&gt;</w:t>
      </w:r>
      <w:r w:rsidDel="00000000" w:rsidR="00000000" w:rsidRPr="00000000">
        <w:rPr>
          <w:rtl w:val="0"/>
        </w:rPr>
        <w:t xml:space="preserve"> ouvertes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: 20%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f2 allongement de la hampe florale, nombreuses </w:t>
      </w:r>
      <w:r w:rsidDel="00000000" w:rsidR="00000000" w:rsidRPr="00000000">
        <w:rPr>
          <w:b w:val="1"/>
          <w:color w:val="1c4587"/>
          <w:rtl w:val="0"/>
        </w:rPr>
        <w:t xml:space="preserve">&lt;skos:prefLabel = ‘fleur’&gt;</w:t>
      </w:r>
      <w:r w:rsidDel="00000000" w:rsidR="00000000" w:rsidRPr="00000000">
        <w:rPr>
          <w:rtl w:val="0"/>
        </w:rPr>
        <w:t xml:space="preserve">fleurs</w:t>
      </w:r>
      <w:r w:rsidDel="00000000" w:rsidR="00000000" w:rsidRPr="00000000">
        <w:rPr>
          <w:b w:val="1"/>
          <w:color w:val="1c4587"/>
          <w:rtl w:val="0"/>
        </w:rPr>
        <w:t xml:space="preserve">&lt;/skos:prefLabel = ‘fleur’&gt;</w:t>
      </w:r>
      <w:r w:rsidDel="00000000" w:rsidR="00000000" w:rsidRPr="00000000">
        <w:rPr>
          <w:rtl w:val="0"/>
        </w:rPr>
        <w:t xml:space="preserve"> ouvertes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: 4%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méligèthes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48 parcelles renseignées cette semaine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comptages réalisés dans les parcelles du réseau témoignent toujours d’une forte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activité. les insectes sont observés dans toutes les parcelles (sauf à balot-21) avec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nombre moyen par pied de 5,1. les infestations s’échelonnent de 0,1 (nesle-21) 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 méligèthes par plante (orain-21).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avec l’apparition des premières </w:t>
      </w:r>
      <w:r w:rsidDel="00000000" w:rsidR="00000000" w:rsidRPr="00000000">
        <w:rPr>
          <w:b w:val="1"/>
          <w:color w:val="1c4587"/>
          <w:rtl w:val="0"/>
        </w:rPr>
        <w:t xml:space="preserve">&lt;skos:prefLabel = ‘fleur’&gt;</w:t>
      </w:r>
      <w:r w:rsidDel="00000000" w:rsidR="00000000" w:rsidRPr="00000000">
        <w:rPr>
          <w:rtl w:val="0"/>
        </w:rPr>
        <w:t xml:space="preserve">fleurs</w:t>
      </w:r>
      <w:r w:rsidDel="00000000" w:rsidR="00000000" w:rsidRPr="00000000">
        <w:rPr>
          <w:b w:val="1"/>
          <w:color w:val="1c4587"/>
          <w:rtl w:val="0"/>
        </w:rPr>
        <w:t xml:space="preserve">&lt;/skos:prefLabel = ‘fleur’&gt;</w:t>
      </w:r>
      <w:r w:rsidDel="00000000" w:rsidR="00000000" w:rsidRPr="00000000">
        <w:rPr>
          <w:rtl w:val="0"/>
        </w:rPr>
        <w:t xml:space="preserve">, de nombreuses parcelles du réseau ne sont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plus dans la période de risque méligèthes. la vigilance reste cependant de mise dans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parcelles avec un stade peu avancé et/ou avec une présence importante de méligèthes par plante.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grandes cultures n° 20 du 05 avril 2011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période de risque va du stade d1 (boutons accolés) à la floraison engagée (f1).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seuils de nuisibilité sont rappelés ci-dessous.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charançons de la tige du colza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quelques dégâts occasionnés par les piqûres de charançon sont maintenant visibles en culture (dégâts à 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 confondre avec des éclatements de tiges consécutifs à la croissance soutenue du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). la période actuelle est aisée pour observer ce type de dégâts. un point précis sur l’impact du charançon de la tige cette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année sur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sera présenté lors du bilan de campagne.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dégâts du charançon de la tige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dès qu'un œuf de charançon est pondu dans la tige, les tissus environnants réagissent vivement. les symptômes s'expriment, et ce d'autant plus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fort que la montaison est active. la croissance de la tige est désorganisée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 l'élongation contrariée. les tiges prennent un aspect renflé et deviennent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creuses. la moelle est dissociée et prend un aspect cotonneux. la tige 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déforme, se tord et peut même éclater longitudinalement. la piqûre de ponte peut être observée à proximité de l’éclatement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charançons des siliques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32 parcelles renseignées cette semaine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premières captures en cuvette et la présence de quelques insectes sur les plantes sont signalées. etant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donné le stade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, le risque présenté par ce ravageur n’est pas d’actualité. le charançon des siliques doit être surveillé entre les stades g2 (formation des premières siliques) et g4 (10 premières siliques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bosselées) du colza. le seuil d’intervention est de 1 charançon en moyenne pour 2 plantes.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 ailleurs, la nuisibilité du charançon des siliques est faible et se limite dans la majorité des cas aux bordures des parcelles. l’activité nutritionnelle des larves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(consommation de graines dans les siliques) est très souvent insignifiante. les lésions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provoquées par les adultes peuvent en revanche s’avérer ponctuellement dommageables, en cas de forte présence de l’insecte. les morsures constituent en effet des portes d’entrée pour un autre insecte nuisible : la cécidomyie du colza (dasineura brassicae).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faible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sclerotinia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hormis pour les quelques parcelles très précoces, le risque de contamination de la plante par le sclerotinia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n’est pas encore d’actualité. il le sera à partir du stade g1 (chute des premiers pétales).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 stade n’étant pas forcément facile à repérer, il est important de bien identifier le stade f1, qui le précède.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passage du stade f1 au stade g1 se déroule sur une période de 6 à 12 jours en fonction des températures (100°c base 0).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n’existe pas pour le sclerotinia du colza de seuil de risque a priori étant donné que la protection ne peut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être que préventive.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ce fait le risque sclerotinia de l’année peut être évalué selon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les indicateurs de pétales contaminés comme le kit pétales,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le nombre de culture sensible au sclerotinia dans la rotation (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&lt;skos:prefLabel = ‘tournesol’&gt;</w:t>
      </w:r>
      <w:r w:rsidDel="00000000" w:rsidR="00000000" w:rsidRPr="00000000">
        <w:rPr>
          <w:rtl w:val="0"/>
        </w:rPr>
        <w:t xml:space="preserve">tournesol</w:t>
      </w:r>
      <w:r w:rsidDel="00000000" w:rsidR="00000000" w:rsidRPr="00000000">
        <w:rPr>
          <w:b w:val="1"/>
          <w:color w:val="1c4587"/>
          <w:rtl w:val="0"/>
        </w:rPr>
        <w:t xml:space="preserve">&lt;/skos:prefLabel = ‘tournesol’&gt;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1c4587"/>
          <w:rtl w:val="0"/>
        </w:rPr>
        <w:t xml:space="preserve">&lt;skos:prefLabel = ‘soja’&gt;</w:t>
      </w:r>
      <w:r w:rsidDel="00000000" w:rsidR="00000000" w:rsidRPr="00000000">
        <w:rPr>
          <w:rtl w:val="0"/>
        </w:rPr>
        <w:t xml:space="preserve">soja</w:t>
      </w:r>
      <w:r w:rsidDel="00000000" w:rsidR="00000000" w:rsidRPr="00000000">
        <w:rPr>
          <w:b w:val="1"/>
          <w:color w:val="1c4587"/>
          <w:rtl w:val="0"/>
        </w:rPr>
        <w:t xml:space="preserve">&lt;/skos:prefLabel = ‘soja’&gt;</w:t>
      </w:r>
      <w:r w:rsidDel="00000000" w:rsidR="00000000" w:rsidRPr="00000000">
        <w:rPr>
          <w:rtl w:val="0"/>
        </w:rPr>
        <w:t xml:space="preserve">…),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les attaques recensées les années antérieures sur la parcelle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les conditions climatiques humides favorables à la germination des sclérotes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plusieurs kits pétales sont mis en place sur les parcelles du réseau pour identifier le risque. les premiers résultats devraient être disponibles la semaine prochaine.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ensuite le climat durant toute la floraison favorisera ou non l’expression de la maladie : humidité relative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plus de 90% dans le couvert durant 3 jours consécutifs pendant la floraison et une température moyenne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journalière supérieure à 10°c.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vigilance pour les pollinisateurs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pendant la floraison, il est indispensable de préserver les conditions favorables à la pollinisation par les insectes. toute décision doit tenir compte des conséquences sur les insectes qui contribuent de façon déterminante à la pollinisation des cultures et notamment du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grandes cultures n° 20 du 05 avril 2011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aspects réglementaires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est ainsi impératif de respecter l’arrêté « mélanges » du 07/04/2010 et l’arrêté « abeilles » du 28/11/2003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relatifs notamment aux conditions d’emploi d’insecticides pendant les périodes de floraison et de production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d’exsudats (cf. bsv n°19)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rappelons simplement qu’aucun insecticide ne doit, à cette date, être appliqué sur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en pleine journée car les abeilles sont présentes et butinent.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autres informations sur les parcelles suivies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présence de cylindrosporiose dans le nord de l’yonne sans évolution par rapport à la semaine dernière.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une parcelle à laignes (côte d’or) avec présence de phoma (30% de pieds nécrosés).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l’analyse de risque repose cette semaine sur l’observation de 49 parcelles (15 dans l’yonne, 5 dans la nièvre, 16 en côte d’or et 13 en saône et loire).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depuis la semaine dernière,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blés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 se sont fortement développés sous l’effet d’un réchauffement significatif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températures. en conséquence, aujourd’hui près de 60% des parcelles ont atteint le stade 1 noeud.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autres situations, dans des secteurs tardifs de la région et plus particulièrement sur les plateaux de côte d’or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 dans l’yonne, sont au stade épi 1 cm. pour l’anecdote, deux parcelles sont déjà au stade 2 nœuds : variétés précoces aprilio et graindor dans le mâconnais.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piétin verse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piétin verse constitue le premier risque sanitaire à évaluer en ce début de printemps.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premières observations sont à réaliser sur la base des tiges, dès que le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 atteint le stade épi 1 cm 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jusqu’au stade 2 nœuds.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ce stade, bien différencier les maladies du pied les unes des autres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piétin verse : une tache floue sous le 1er nœud et la présence de stromas noirs sur les gaines proches de la tige.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&gt; rhizoctone : une à plusieurs taches nettes entre le plateau de tallage et le 2 ème nœud avec généralement une déchirure de la gaine.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&gt; fusariose : une tache brune de grande taille qui suit les nervures.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grandes cultures n° 20 du 05 avril 2011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l’estimation du risque piétin verse est largement déterminée par les conditions agronomiques de la parcelle.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celui-ci dépend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potentiel infectieux du sol (fréquence de retour du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 et plus particulièrement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 sur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milieu physique (type de sol et plus particulièrement sols très limoneux)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la date et de la densité de semis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travail du sol pour les rotations avec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 tous les 2 ans (enfouissement ou non des résidus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blés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antérieurs)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de la variété (les variétés dont la note geves de sensibilité au piétin verse est supérieure ou égale à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 valorisent pas un traitement contre cette maladie). voir graphique ci après.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sensibilité des variétés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 au piétin verse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l’estimation du risque piétin verse peut être réalisée grâce aux grilles régionales du sral. voir en annexe 1 les deux grilles proposées pour la région bourgogne.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cette estimation peut être améliorée en prenant en compte la climatologie de l’année au travers du modèle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top du sral. le niveau de risque piétin verse atteint à ce jour s’inscrit à un niveau modéré comme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en 2009 et 2010 au même moment, comme le montre l’historique ci-après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enfin, le critère déterminant reste le comptage du nombre de tiges touchées (sur une cinquantaine de tiges)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moins de 10% de tiges atteintes = ne pas intervenir.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entre 10 et 35% de tiges atteintes = rentabilité variable du traitement. dans ce cas, tenir compte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note globale de risque calculée à l’aide de la grille de risque.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plus de 35% de tiges atteintes = traiter contre le piétin verse entre les stades épi 1 cm et 1 nœud,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voire au plus tard à 2 nœuds.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le réseau, parmi les 35 parcelles ayant fait l’occasion d’un diagnostic de la maladie, 11 (soit environ 1/3)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font état de sa présence dont 3 à plus 30% de tiges touchées (à cessey sur tille, cuiserey et villy le moutiers, en côte d’or, respectivement en goncourt semé le 03/10/2010, en arezzo semé le 05/10/2010 et 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apache en blé/blé).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conditions sèches et températures élevées prévues dans les jours à venir ne sont pas de nature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à augmenter ce risque.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l’oïdium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maladie est observée dans 10 parcelles sur 32 ayant fait l’objet d’une observation pour cette maladie, soit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environ 1/3 des situations. toutes ces parcelles sont dans l’yonne. la majorité de ces parcelles enregistre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une attaque d’oïdium supérieure au seuil de risque de plus de 20% de feuilles touchées.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s’intéresser en priorité aux variétés les plus sensibles : apache, aldric, hystar, garcia et bermude. rajouter premio, variété présente dans la parcelle la plus attaquée près de sens.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septoriose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septoriose observée aujourd’hui sur 25% des parcelles, sur feuilles âgées, ne constitue pas encore 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grandes cultures n° 20 du 05 avril 2011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risque de verse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conditions climatiques actuelles et à venir caractérisées par un fort rayonnement, en particulier en fin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semaine, limitent le risque de verse.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au-delà des conditions climatiques, la sensibilité variétale à la verse reste un critère important du raisonnement.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références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‘orge d’hiver’&gt;</w:t>
      </w:r>
      <w:r w:rsidDel="00000000" w:rsidR="00000000" w:rsidRPr="00000000">
        <w:rPr>
          <w:rtl w:val="0"/>
        </w:rPr>
        <w:t xml:space="preserve">orges d’hiver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 d’hiver’&gt;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color w:val="1c4587"/>
          <w:rtl w:val="0"/>
        </w:rPr>
        <w:t xml:space="preserve">&lt;skos:prefLabel = ‘escourgeon’&gt;</w:t>
      </w:r>
      <w:r w:rsidDel="00000000" w:rsidR="00000000" w:rsidRPr="00000000">
        <w:rPr>
          <w:rtl w:val="0"/>
        </w:rPr>
        <w:t xml:space="preserve">escourgeons</w:t>
      </w:r>
      <w:r w:rsidDel="00000000" w:rsidR="00000000" w:rsidRPr="00000000">
        <w:rPr>
          <w:b w:val="1"/>
          <w:color w:val="1c4587"/>
          <w:rtl w:val="0"/>
        </w:rPr>
        <w:t xml:space="preserve">&lt;/skos:prefLabel = ‘escourgeon’&gt;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l’analyse de risque repose cette semaine sur l’observation de 23 parcelles (6 dans l’yonne, 3 dans la nièvre,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 en côte d’or et 4 en saône et loire).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depuis la semaine dernière,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‘orge’&gt;</w:t>
      </w:r>
      <w:r w:rsidDel="00000000" w:rsidR="00000000" w:rsidRPr="00000000">
        <w:rPr>
          <w:rtl w:val="0"/>
        </w:rPr>
        <w:t xml:space="preserve">orges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‘orge’&gt;</w:t>
      </w:r>
      <w:r w:rsidDel="00000000" w:rsidR="00000000" w:rsidRPr="00000000">
        <w:rPr>
          <w:rtl w:val="0"/>
        </w:rPr>
        <w:t xml:space="preserve">, comme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‘blé’&gt;</w:t>
      </w:r>
      <w:r w:rsidDel="00000000" w:rsidR="00000000" w:rsidRPr="00000000">
        <w:rPr>
          <w:rtl w:val="0"/>
        </w:rPr>
        <w:t xml:space="preserve">blés</w:t>
      </w:r>
      <w:r w:rsidDel="00000000" w:rsidR="00000000" w:rsidRPr="00000000">
        <w:rPr>
          <w:b w:val="1"/>
          <w:color w:val="1c4587"/>
          <w:rtl w:val="0"/>
        </w:rPr>
        <w:t xml:space="preserve">&lt;/skos:prefLabel = ‘blé’&gt;</w:t>
      </w:r>
      <w:r w:rsidDel="00000000" w:rsidR="00000000" w:rsidRPr="00000000">
        <w:rPr>
          <w:rtl w:val="0"/>
        </w:rPr>
        <w:t xml:space="preserve">, se sont fortement développées sous l’effet d’un réchauffement significatif des températures. en conséquence, aujourd’hui 60% des parcelles ont atteint le stade 1 noeud. les autres situations, soit dans des secteurs tardifs de la région, sont au stade épi 1 cm, soit sur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situations précoces (estérel semé entre le 29/09 et le 02/10/2010), au stade 2 nœuds.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maladies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sous l’effet d’un temps plus sec, la rhynchosporiose laisse maintenant sa place à l’oïdium et à l’helminthosporiose teres.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d’abord l’helminthosporiose teres, observée sur 50% des parcelles et tout particulièrement sur celles ayant dépassé le stade 1 nœud. s’intéresser en priorité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aux variétés les plus sensibles à cette maladie : arturio, esterel, ketos,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azurel, abondance, champie, volume, metaxa et salamandre.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 ailleurs, on rappellera que cette maladie a un caractère explosif lié à une durée d’incubation très courte de l’ordre de 2 à 3 jours une fois les spores installées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le feuillage.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puis également l’oïdium, observé sur 25% des parcelles du réseau au-delà du seuil de risque de plus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20% de feuilles touchées. s’intéresser en priorité aux variétés les plus sensibles à cette maladie : cervoise, marado, bivouac, champie, arturio, platine, salamandre et ketos.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l’analyse de risque réalisée cette semaine montre deux types de situations se répartissant à parts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égales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celles avec un risque élevé de développement des maladies, d’autant plus à considérer 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‘orge’&gt;</w:t>
      </w:r>
      <w:r w:rsidDel="00000000" w:rsidR="00000000" w:rsidRPr="00000000">
        <w:rPr>
          <w:rtl w:val="0"/>
        </w:rPr>
        <w:t xml:space="preserve">orges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‘orge’&gt;</w:t>
      </w:r>
      <w:r w:rsidDel="00000000" w:rsidR="00000000" w:rsidRPr="00000000">
        <w:rPr>
          <w:rtl w:val="0"/>
        </w:rPr>
        <w:t xml:space="preserve"> sont au stade de début de nuisibilité de ces maladies.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celles indemnes de maladies sur une des trois dernières feuilles, sans pour autant oublier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 la période critique de risque se termine au moment de la sortie des barbes. compte tenu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climat chaud annoncé, les premières barbes pourraient pointer à l’aube de la dernière décade d’avril dans les zones les plus précoces.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risque de verse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conditions climatiques actuelles et à venir caractérisées par un fort rayonnement, en particulier en fin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semaine, limitent le risque de verse.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au-delà des conditions climatiques, la sensibilité variétale à la verse reste un critère important du raisonnement.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escourgeons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tenue de tige n’est pas le point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fort de l’</w:t>
      </w:r>
      <w:r w:rsidDel="00000000" w:rsidR="00000000" w:rsidRPr="00000000">
        <w:rPr>
          <w:b w:val="1"/>
          <w:color w:val="1c4587"/>
          <w:rtl w:val="0"/>
        </w:rPr>
        <w:t xml:space="preserve">&lt;skos:prefLabel = ‘orge’&gt;</w:t>
      </w:r>
      <w:r w:rsidDel="00000000" w:rsidR="00000000" w:rsidRPr="00000000">
        <w:rPr>
          <w:rtl w:val="0"/>
        </w:rPr>
        <w:t xml:space="preserve">orge</w:t>
      </w:r>
      <w:r w:rsidDel="00000000" w:rsidR="00000000" w:rsidRPr="00000000">
        <w:rPr>
          <w:b w:val="1"/>
          <w:color w:val="1c4587"/>
          <w:rtl w:val="0"/>
        </w:rPr>
        <w:t xml:space="preserve">&lt;/skos:prefLabel = ‘orge’&gt;</w:t>
      </w:r>
      <w:r w:rsidDel="00000000" w:rsidR="00000000" w:rsidRPr="00000000">
        <w:rPr>
          <w:rtl w:val="0"/>
        </w:rPr>
        <w:t xml:space="preserve">. une verse précoce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peut engendrer d’importantes pertes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rendement et nuire à la qualité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grain, en particulier pour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variétés à orientation brassicole.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abondance, esterel en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rangs et platine, vanessa en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rangs doivent particulièrement être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surveillées sur ce critère et faire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l’objet d’une conduite adaptée. 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revanche, l’hybride volume a un bon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comportement. par ailleurs, ne pas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oublier la sensibilté à la casse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l’épi pour esterel.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9 parcelles observées, les stades sont variables selon les dates de semis : de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feuilles pour les semis de début mars à 2-3 talles pour les semis de début février, moins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fréquents.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rien à signaler sur le plan de l’état sanitaire. la période de risque vis-à-vis des maladies ne commence qu’à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partir du début de la montaison avec l’arrivée possible d’oïdium et de rhynchosporiose sur les variétés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plus sensibles.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‘pois d’hiver’&gt;</w:t>
      </w:r>
      <w:r w:rsidDel="00000000" w:rsidR="00000000" w:rsidRPr="00000000">
        <w:rPr>
          <w:rtl w:val="0"/>
        </w:rPr>
        <w:t xml:space="preserve">pois d’hiver</w:t>
      </w:r>
      <w:r w:rsidDel="00000000" w:rsidR="00000000" w:rsidRPr="00000000">
        <w:rPr>
          <w:b w:val="1"/>
          <w:color w:val="1c4587"/>
          <w:rtl w:val="0"/>
        </w:rPr>
        <w:t xml:space="preserve">&lt;/skos:prefLabel = ‘pois d’hiver’&gt;</w:t>
      </w:r>
      <w:r w:rsidDel="00000000" w:rsidR="00000000" w:rsidRPr="00000000">
        <w:rPr>
          <w:rtl w:val="0"/>
        </w:rPr>
        <w:t xml:space="preserve"> sont au stade 10 à 12 feuilles. leur état sanitaire est bon.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sous l’effet du réchauffement significatif des températures,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‘pois de printemps’&gt;</w:t>
      </w:r>
      <w:r w:rsidDel="00000000" w:rsidR="00000000" w:rsidRPr="00000000">
        <w:rPr>
          <w:rtl w:val="0"/>
        </w:rPr>
        <w:t xml:space="preserve">pois de printemps</w:t>
      </w:r>
      <w:r w:rsidDel="00000000" w:rsidR="00000000" w:rsidRPr="00000000">
        <w:rPr>
          <w:b w:val="1"/>
          <w:color w:val="1c4587"/>
          <w:rtl w:val="0"/>
        </w:rPr>
        <w:t xml:space="preserve">&lt;/skos:prefLabel = ‘pois de printemps’&gt;</w:t>
      </w:r>
      <w:r w:rsidDel="00000000" w:rsidR="00000000" w:rsidRPr="00000000">
        <w:rPr>
          <w:rtl w:val="0"/>
        </w:rPr>
        <w:t xml:space="preserve">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sont rapidement développés depuis une semaine. la majorité des 8 parcelles observées cette semaine atteint le stade 3 – 4 feuilles.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sitones dans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‘pois de printemps’&gt;</w:t>
      </w:r>
      <w:r w:rsidDel="00000000" w:rsidR="00000000" w:rsidRPr="00000000">
        <w:rPr>
          <w:rtl w:val="0"/>
        </w:rPr>
        <w:t xml:space="preserve">pois de printemps</w:t>
      </w:r>
      <w:r w:rsidDel="00000000" w:rsidR="00000000" w:rsidRPr="00000000">
        <w:rPr>
          <w:b w:val="1"/>
          <w:color w:val="1c4587"/>
          <w:rtl w:val="0"/>
        </w:rPr>
        <w:t xml:space="preserve">&lt;/skos:prefLabel = ‘pois de printemps’&gt;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conditions climatiques actuelles (températures moyennes supérieures à 12°c et bon ensoleillement) sont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favorables aux sitones, d’autant plus dans la phase de risque qui s’étend jusqu’au stade 6 feuilles.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apprécier le risque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observer 10 plantes, choisies au hasard, espacées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unes des autres d’au moins quelques mètres,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l’observation portera sur les morsures d’adultes sur les stipules.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noter l’intensité de l’attaque sur les 2 stipules du bas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 : pas de morsures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: de 1 à 5 morsures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: de 5 à10 morsures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: plus de 10 morsures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seuil de nuisibilité est fixé à 10 morsures en moyenne sur les 2 premières feuilles.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renouveler les comptages chaque semaine, jusqu’au stade 6 feuilles.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toutes les parcelles observées cette semaine présentent des morsures de sitones. parmi elles, trois (parmi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plus en avance dans la région du jovinien de l’yonne) se voit attribuer la note 2, soit de 5 à 10 morsures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les deux premières feuilles de chaque plante. bien que le seuil de nuisibilité ne soit pas atteint, 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situations méritent une attention soutenue jusqu’au stade 6 feuilles.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grandes cultures n° 20 du 05 avril 2011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‘moutarde’&gt;</w:t>
      </w:r>
      <w:r w:rsidDel="00000000" w:rsidR="00000000" w:rsidRPr="00000000">
        <w:rPr>
          <w:rtl w:val="0"/>
        </w:rPr>
        <w:t xml:space="preserve">moutarde brune</w:t>
      </w:r>
      <w:r w:rsidDel="00000000" w:rsidR="00000000" w:rsidRPr="00000000">
        <w:rPr>
          <w:b w:val="1"/>
          <w:color w:val="1c4587"/>
          <w:rtl w:val="0"/>
        </w:rPr>
        <w:t xml:space="preserve">&lt;/skos:prefLabel = ‘moutarde’&gt;</w:t>
      </w:r>
      <w:r w:rsidDel="00000000" w:rsidR="00000000" w:rsidRPr="00000000">
        <w:rPr>
          <w:rtl w:val="0"/>
        </w:rPr>
        <w:t xml:space="preserve"> d’automne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réseau d’observation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réseau est constitué de 12 parcelles sur la région bourgogne, cette semaine 12 sur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 ont été observées.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 de la culture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progression rapide des stades, depuis la semaine dernière.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20 % des parcelles sont au stade boutons accolés, cachés dans la </w:t>
      </w:r>
      <w:r w:rsidDel="00000000" w:rsidR="00000000" w:rsidRPr="00000000">
        <w:rPr>
          <w:b w:val="1"/>
          <w:color w:val="1c4587"/>
          <w:rtl w:val="0"/>
        </w:rPr>
        <w:t xml:space="preserve">&lt;skos:prefLabel = ‘rosette’&gt;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b w:val="1"/>
          <w:color w:val="1c4587"/>
          <w:rtl w:val="0"/>
        </w:rPr>
        <w:t xml:space="preserve">&lt;/skos:prefLabel = ‘rosette’&gt;</w:t>
      </w:r>
      <w:r w:rsidDel="00000000" w:rsidR="00000000" w:rsidRPr="00000000">
        <w:rPr>
          <w:rtl w:val="0"/>
        </w:rPr>
        <w:t xml:space="preserve"> ( d1)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70% des parcelles sont au stade inflorescence dégagée (d2)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10% des parcelles sont au stade boutons séparés (e)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charançon des siliques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leur présence est signalée dans une seule parcelle de l’yonne.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aucun dégât possible, tant que les siliques des plantes ne sont pas formées.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méligèthes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toutes les parcelles ont quasiment atteint le stade sensible.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conditions météo de la semaine sont favorables au vol de méligèthes et au développement rapide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plantes. les observations et comptages doivent être réalisés tous les deux jours.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seuil de nuisibilité pour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‘moutarde’&gt;</w:t>
      </w:r>
      <w:r w:rsidDel="00000000" w:rsidR="00000000" w:rsidRPr="00000000">
        <w:rPr>
          <w:rtl w:val="0"/>
        </w:rPr>
        <w:t xml:space="preserve">moutardes</w:t>
      </w:r>
      <w:r w:rsidDel="00000000" w:rsidR="00000000" w:rsidRPr="00000000">
        <w:rPr>
          <w:b w:val="1"/>
          <w:color w:val="1c4587"/>
          <w:rtl w:val="0"/>
        </w:rPr>
        <w:t xml:space="preserve">&lt;/skos:prefLabel = ‘moutarde’&gt;</w:t>
      </w:r>
      <w:r w:rsidDel="00000000" w:rsidR="00000000" w:rsidRPr="00000000">
        <w:rPr>
          <w:rtl w:val="0"/>
        </w:rPr>
        <w:t xml:space="preserve"> au stade bouton visible est de 1 méligèthe par plante en moyenne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25 plantes à l’intérieur de la parcelle (2éme passage de pulvérisateur)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l’ensemble du réseau (12 parcelles observées) , nous constatons en moyenne 3,4 méligèthes par plantes.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 parcelles ont dépassé le seuil de nuisibilité , 2 parcelles sont en dessous du seuil.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nous pouvons donc considéré que le risque est élevé.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grille d’evaluation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risque pietin verse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bourgogne hors saone et loire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utilisation de la grille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– attribuer une valeur de risque pour chacun des trois facteurs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– faire la somme des 3 chiffres obtenus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– comparer la note globale à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: type de sol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 : date de semis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argileux – argilo 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limon moyen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limon battant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retenir la note la plus forte (exemple : précédent colza = 3 et antéprécédent blé = 4, prendre la note 4)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correctif eventuel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importance du blé dans la rotation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 la parcelle a reçu récemment un blé sur blé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 globale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(a + b + 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réaliser une intervention anti-piétin quand la note globale atteint ou dépasse 10.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8e7cc3"/>
          <w:rtl w:val="0"/>
        </w:rPr>
        <w:t xml:space="preserve">&lt;/cultureGlobale = “colza+blé+orge+pois+moutarde”&gt;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