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“blé tendre+blé dur+orge d’hiver+triticale”&gt;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bulletin de santé du végétal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‘céréale à paille’&gt;</w:t>
      </w:r>
      <w:r w:rsidDel="00000000" w:rsidR="00000000" w:rsidRPr="00000000">
        <w:rPr>
          <w:rtl w:val="0"/>
        </w:rPr>
        <w:t xml:space="preserve">céréales à paille&lt;</w:t>
      </w:r>
      <w:r w:rsidDel="00000000" w:rsidR="00000000" w:rsidRPr="00000000">
        <w:rPr>
          <w:b w:val="1"/>
          <w:color w:val="1c4587"/>
          <w:rtl w:val="0"/>
        </w:rPr>
        <w:t xml:space="preserve">/skos:prefLabel = ‘céréale à paille’&gt;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l’évaluation du risque d’une parcelle face à un bioagresseur repose sur une observation régulière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celle-ci. pour estimer le risque de vos parcelles en cours de campagne, connaître la sensibilité de 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et les leviers agronomiques à mettre en œuvre pour abaisser ce risque, reportez-vous aux fiches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techniques présentes à la fin du bsv (accès direct en cliquant sur les liens en début de paragraphe).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‘blé tendre’&gt;</w:t>
      </w:r>
      <w:r w:rsidDel="00000000" w:rsidR="00000000" w:rsidRPr="00000000">
        <w:rPr>
          <w:rtl w:val="0"/>
        </w:rPr>
        <w:t xml:space="preserve">blé tendre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rappel des stades de sensibilité aux maladies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 parcelles du réseau ont fait l’objet d’une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 entre le 11 et le 15 mars (semaine 11).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majorité des situations est à épi 1 cm (63%).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parcelles les plus précoces, dans l’indre et l’indreet-loire, sont au stade 1 nœud (variété ½ précoce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montaison, semée entre le 1er et le 20 octobre).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pietin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lien vers la fiche piétin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épi 1 cm. sur les 39 parcelles à au moins épi 1 cm, 6 présentent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de piétin verse : entre 1 et 3% des tiges sont atteintes (départements 28, 36 et 37). le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actuel est donc faible. une nouvelle observation du pourcentage de tiges touchées sera indispensable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l’ensemble des variétés sensibles lorsque le stade épi 1 cm sera atteint.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indicatif de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les parcelles à risque agronomique (retour fréquent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, variété sensible, milieu favorable, semis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précoce), à partir du stade épi 1 cm et jusqu’à 2 nœuds, déterminer le pourcentage de tiges atteintes (sur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 tiges)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10 et 30% de tiges atteintes (4 et 14 tiges sur 40), la nuisibilité est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au-delà de 35% de tiges atteintes (≥ 14 tiges / 40), la nuisibilité est certaine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variétés sensibles, le risque piétin verse est déterminé par les conditions agronomiques de la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(cf. grille d’estimation en annexe) et la prise en compte du climat entre la levée et le stade début montaison.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l’influence du climat sur le développement du piétin verse est estimé grâce au modèle top.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parcelles actuellement au stade épi 1 cm (semis les plus précoces), le risque climatique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est élevé en eure-et-loir et à l’est du loiret, et moyen dans les autres départements de la région.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semis tardifs, le risque climatique de la semaine est élevé en indre-et-loire (cf. graphique cidessus), moyen dans le cher et l’indre, et faible dans les autres départements de la région.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toutes les situations, il convient d’observer vos parcelles à partir du stade épi 1 cm.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épi 1 cm. sur les 35 parcelles à au moins épi 1 cm, 2 présentent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d’oïdium (déjà signalées les semaines précédentes)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des variétés peu sensibles (cellule et rgt ampiezzo, dans le 28 et le 45), entre 20 et 40%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f3 du moment sont touchés : le risque actuel est donc faible.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situations à fin tallage qui sont déjà touchées par cette maladie devront faire l’objet d’une surveillance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étroite dès épi 1 cm.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indicatif de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épi 1 cm, en fonction des sensibilités variétales, le seuil indicatif de risque est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variétés sensibles : plus de 20% des 3èmes ou 2èmes ou 1ères feuilles sont atteints,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autres variétés : plus de 50% des 3èmes ou 2èmes ou 1ères feuilles sont atteints.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parmi les 37 situations à au moins épi 1 cm, seule une parcelle du cher est signalée avec de la rouille jaune.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symptômes, déjà signalés la semaine dernière, ont peu évolué : 10% des f3 du moment sont touchés.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cependant, le risque reste élevé pour les variétés très sensibles (foyers visibles dans des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d’altigo et d’alixan) et plutôt faible pour les autres.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variétés très sensibles qui sont à fin tallage sont à surveiller étroitement. pour les autres,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 à partir du stade épi 1 cm est conseillée.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fusariose de la base de la tige signalée dans 4 parcelles (départements 28 et 36) : entre 2.5 et 10 %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tiges sont touchés.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de rhizoctone pour 4 parcelles (départements 18 et 37) : entre 1 et 8 % des tiges sont atteints.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rouille brune dans 4 parcelles (départements 18, 36 et 45) : entre 10 et 20 % des f3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 sont touchés. le risque pour cette maladie est nul avant le stade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septoriose sur les f2 ou f3 du moment dans 31 parcelles de la région. le risque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est nul avant le stade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soupçon de viroses (non identifiée pour l’instant) dans une parcelle du cher.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‘blé dur’&gt;</w:t>
      </w:r>
      <w:r w:rsidDel="00000000" w:rsidR="00000000" w:rsidRPr="00000000">
        <w:rPr>
          <w:rtl w:val="0"/>
        </w:rPr>
        <w:t xml:space="preserve">blé dur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dur’&gt;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rappel des stades de sensibilité aux maladies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 parcelles du réseau ont fait l’objet d’une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 entre le 11 et le 15 mars (semaine 11).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majorité des parcelles est au stade épi 1 cm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(54%). les parcelles les plus précoces, dans le loiret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le loir-et-cher, sont à 1 nœud.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aucune des 12 parcelles observées cette semaine ne présente de symptômes. le risque actuel est donc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 pour les variétés assez sensibles à résistantes. attention toutefois aux variétés très sensibles (ex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plussur, luminur).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piétin verse : symptômes dans une parcelle du loir-et-cher (stade 1 nœud) déjà signalée la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précédente : 5% des tiges sont touchés. le risque est faible.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oïdium sur 20% des f3 du moment dans une parcelle du loiret (variété relief) : le risque actuel 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moyen.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septoriose signalée sur les f3 du moment de 4 parcelles (dans le 28, 41 et 45). le risque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est nul avant le stade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le 11 et le 15 mars (semaine 11), 42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 ont fait l’objet d’une observation.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majorité d’entre elles est à épi 1 cm (52%).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la semaine précédente, la situation la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précoce, dans le loiret, est au stade 1 nœud (etincel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semée le 19 octobre).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épi 1 cm. aucune des 11 parcelles à au moins épi 1 cm ne présente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d’oïdium : le risque est donc faible pour ce type de situations (variétés assez sensibles à peu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sensibles).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indicatif de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épi 1 cm, compter les 3 feuilles supérieures de 20 tiges principales (soit 60 feuilles)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variétés sensibles : si plus de 20% des 3èmes ou 2èmes ou 1ères feuilles sont couvertes à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5% de la surface des feuilles par un feutrage blanc.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autres variétés : si plus de 50% des 3èmes ou 2èmes ou 1ères feuilles touchées sont couvertes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de 5% de la surface des feuilles par un feutrage blanc.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rhynchosporiose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lien vers la fiche rhynchosporiose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1 nœud. aucune des 21 parcelles observées cette semaine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n’a atteint ce stade. les situations présentant déjà des symptômes (11 parcelles) sont à surveiller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attentivement dans les jours à venir.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1 nœud, compter les 3 feuilles supérieures de 20 tiges principales (soit 60 feuilles)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variétés sensibles : si plus de 10% de feuilles atteintes et plus de 5 jours avec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précipitations supérieures à 1 mm depuis le stade 1 nœud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autres variétés : si plus de 10% de feuilles atteintes et plus de 7 jours avec des précipitations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supérieures à 1 mm depuis le stade 1 nœud.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pluies annoncées pour la semaine sont faibles à nulles. le risque de nouvelles contaminations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rhynchosporiose resterait donc faible.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helminthosporiose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lien vers la fiche helminthosporiose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1 nœud. aucune des 22 parcelles observées cette semaine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n’a atteint ce stade. les situations présentant déjà des symptômes (18 parcelles) sont à surveiller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attentivement dans les jours à venir.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1 nœud, compter les 3 feuilles supérieures de 20 tiges principales (soit 60 feuilles)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variétés sensibles : si plus de 10% de feuilles atteintes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autres variétés : si plus de 25% de feuilles atteintes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variations journalières des températures et les hygrométries annoncées seront favorables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développement de l’helminthosporiose. le risque pourrait augmenter dans les jours à venir, notamment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parcelles déjà touchées. les variétés sensibles sont à surveiller en priorité.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rouille naine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lien vers la fiche rouille naine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1 nœud. aucune des 16 parcelles observées cette semaine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n’a atteint ce stade. les situations présentant déjà des symptômes (4 parcelles) sont à surveiller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attentivement dans les jours à venir. rappel : le risque dépend principalement de la sensibilité variétale.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1 nœud, compter les 3 feuilles supérieures de 20 tiges principales (soit 60 feuilles)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variétés sensibles : si plus de 10% de feuilles atteintes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autres variétés : si plus de 50% de feuilles atteintes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l’augmentation des températures et le maintien de l’hygrométrie seront favorables à la rouille naine.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sensibles à peu sensibles doivent donc être surveillées en priorité.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autres maladies / 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mosaïque de l’orge est signalée dans une parcelle de l’indre, à issoudun (variété isocel). au moins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20% de la parcelle présente des symptômes répartis de manière hétérogène.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  <w:t xml:space="preserve"> du réseau ont été observées entre 11 et le 15 mars (semaine 11). 2 d’entre elles sont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 tallage (dans le cher et le loir-et-cher), 2 sont à épi 1 cm (dans l’indre et l’indre-et-loire) et la situation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précoce, dans l’indre, est toujours à 1 nœud.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maladies / 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augmentation des symptômes d’oïdium dans la parcelle précoce de l’indre : 20% des f2 et 70% des f3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 sont touchés. le risque se maintiendra dans les jours à venir. pour les parcelles qui sont encore à fin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tallage, une observation sera indispensable à partir du stade épi 1 cm pour évaluer le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symptômes de septoriose sont signalées dans le loir-et-cher et le cher (stade fin tallage).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dernière parcelle, de la rouille brune est également présente. le risque pour ces maladies est nul avant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stade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des stades de sensibilité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aux maladies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piétin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observe généralement les symptômes de la montaison à la maturité.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gaine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tache ocellée (elliptique). la tache est bordée par un liseré brun diffus. après avoir soulevé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successivement les gaines, on observe un ou plusieurs points noirs sur la tige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correspondant à des amas mycéliens (stromas).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épi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echaudage de l’ensemble de l’épi présentant une répartition aléatoire dans la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tige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plus souvent une seule tache, plus rarement deux. la limite de la tache est peu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délimitée, diffuse. elle se situe en général sous le premier nœud.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la plante entière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verse possible à maturité en cas de forte attaque.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pluviométrie élevée et les températures douces pendant l’automne et l'hiver favorisent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l’évolution de la maladie. le modèle climatique top permet d’estimer le risque annuel.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evaluation du risque agronomique à la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l’estimation du risque piétin verse est largement déterminée par les conditions agronomiques de la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(potentiel infectieux, milieu physique, variété et date de semis) et la prise en compte du climat de la levée du blé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jusqu’au début montaison. une estimation est possible à partir de la grille ci-après.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notes de résistance attribuées par le geves à l’inscription des variétés ont déjà montré leur validité. ainsi,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aux notes supérieures ou égales à 5 ne justifient pas d’une protection spécifique piétin verse.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grille nationale d’évaluation du risque piétin verse avec prise en compte du climat de l’hiver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: arvalis - institut du végétal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potentiel infectieux du sol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travail du sol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méthode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prélever au champ (20 ou) 50 tiges issues de 10 points de prélèvement en parcourant une parcelle en diagonale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retirer la terre et laver la base des tiges  observer les symptômes, classer les tiges et compter les tiges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atteintes  calculer le % de tiges atteintes.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oïdium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dès le stade 3 feuilles, le plus souvent entre fin tallage et 2 nœuds. peut ensuite progresser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feuilles et l’épi.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la parcelle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répartition homogène dans le champ (dissémination par le vent).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l’attaque commence par les feuilles les plus basses, sur les gaines et les limbes.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développement rapide même à basse température (5°c).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touffes blanches, cotonneuses, éparses sur toute la feuille (face supérieure) qui deviennent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brunes et grises. après quelques temps, apparition de ponctuations noires (cleistothèces).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après rinçage par les pluies, il reste des traces des attaques sous forme de taches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chlorotiques sur la feuille.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l’épi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touffes blanches, cotonneuses, sur les bords des glumelles, barbes.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favorisé par une longue alternance de périodes avec et sans pluies. une forte pluie peut laver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mycélium présent sur les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résistances des variétés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echelle de la résistance des variétés de blé tendre à l’oïdium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: arvalis - institut du végétal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l’oïdium n’est plus une maladie dominante sur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tendre’&gt;</w:t>
      </w:r>
      <w:r w:rsidDel="00000000" w:rsidR="00000000" w:rsidRPr="00000000">
        <w:rPr>
          <w:rtl w:val="0"/>
        </w:rPr>
        <w:t xml:space="preserve">blé tendre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tendre’&gt;</w:t>
      </w:r>
      <w:r w:rsidDel="00000000" w:rsidR="00000000" w:rsidRPr="00000000">
        <w:rPr>
          <w:rtl w:val="0"/>
        </w:rPr>
        <w:t xml:space="preserve"> mais des différences de tolérance variétales existent.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références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l’oïdium n’est pas une maladie dominante sur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dur’&gt;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dur’&gt;</w:t>
      </w:r>
      <w:r w:rsidDel="00000000" w:rsidR="00000000" w:rsidRPr="00000000">
        <w:rPr>
          <w:rtl w:val="0"/>
        </w:rPr>
        <w:t xml:space="preserve"> dur. les différences de tolérance variétales sont peu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marquées. l’oïdium est très lié à un excès d’azote précoce ou à un excès de végétation.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rouille jaune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généralement de 1 nœud à dernière feuille, plus rarement au stade tallage.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la parcelle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1ères pustules localisées sur les feuilles du bas de quelques plantes dans la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foyers de petite surface, jaunes de loin, nettement délimités. si climat favorable,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infestation possible de toute la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les feuilles supérieures, pustules jaunes parfois </w:t>
      </w:r>
      <w:r w:rsidDel="00000000" w:rsidR="00000000" w:rsidRPr="00000000">
        <w:rPr>
          <w:b w:val="1"/>
          <w:color w:val="1c4587"/>
          <w:rtl w:val="0"/>
        </w:rPr>
        <w:t xml:space="preserve">&lt;skos:prefLabel = ‘orange’&gt;</w:t>
      </w:r>
      <w:r w:rsidDel="00000000" w:rsidR="00000000" w:rsidRPr="00000000">
        <w:rPr>
          <w:rtl w:val="0"/>
        </w:rPr>
        <w:t xml:space="preserve">orangées</w:t>
      </w:r>
      <w:r w:rsidDel="00000000" w:rsidR="00000000" w:rsidRPr="00000000">
        <w:rPr>
          <w:b w:val="1"/>
          <w:color w:val="1c4587"/>
          <w:rtl w:val="0"/>
        </w:rPr>
        <w:t xml:space="preserve">&lt;/skos:prefLabel = ‘orange’&gt;</w:t>
      </w:r>
      <w:r w:rsidDel="00000000" w:rsidR="00000000" w:rsidRPr="00000000">
        <w:rPr>
          <w:rtl w:val="0"/>
        </w:rPr>
        <w:t xml:space="preserve">, de petite taille, alignées entre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nervures, jusqu’à dessiner des stries (observables avec une loupe de poche).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remarque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taches chlorotiques allongées dans le sens des nervures sans pustules peuvent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également être rencontrées (pustules encore en incubation).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un stade avancé, les stries jaunes cèdent la place à des pustules noires (téleutosores).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l’épi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sous les glumes, spores sur le grain et la face intérieure des glumelles.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parfois décoloration des épillets.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printemps frais et humide, avec des températures moyennes modérées (10 à 15 °c). les températures élevées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défavorables à la maladie.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les températures négatives stoppent l’activité de la maladie, mais ne détruisent pas l’inoculum. les hivers doux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généralement favorables.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méthode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prélever 20 plantes  n’observer que les tiges les plus développées (maître brin) de chaque plante  observer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3 dernières feuilles développées du moment (les plus jeunes formées, limbe déroulé)  compter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séparément le nombre de f3, f2, f1 touchées  convertir chaque nombre en %.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résistances des variétés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plusieurs types de résistances à la rouille jaune existent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celles qui s’expriment dès le stade plantule (efficaces tout au long du cycle de la culture).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celles qui se mettent en place au stade adulte (une fois un certain stade de développement atteint,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généralement autour du stade gonflement). les variétés correspondantes peuvent être sensibles durant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tallage ou le début de la montaison, puis résistantes par la suite.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notes attribuées à chaque variété représentent les niveaux de résistance « au stade plantule + adulte ».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assez résistantes ou résistantes peuvent donc présenter des pustules avant le stade gonflement, sans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qu’il s’agisse d’un contournement de gènes. malgré une priorité à donner aux variétés les plus sensibles,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l’observation de tout son parcellaire peut ainsi être judicieuse. toutefois, la nuisibilité d’une attaque précoce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telles variétés sera moins importante, pour une même intensité, que sur des variétés sensibles.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echelle de la résistance des variétés de blé tendre à la rouille jaune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: arvalis - institut du végétal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références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rhynchosporiose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apparition possible dès l’automne et l’hiver mais ce n’est qu’entre les stades 1 nœud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gonflement que cette maladie devient nuisible.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limbe se décolore par taches qui prennent une coloration « vert de gris » pour blanchir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progressivement au centre. elles se développent pour former des taches irrégulières,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centre clair et à périphérie brun foncé. elles se rejoignent ensuite et s’imbriquent les 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les autres. les attaques sont fréquentes à la base du limbe, sur les ligules et sur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gaines.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pluies fréquentes et températures fraîches pendant la montaison. l’élévation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températures vers la fin de la montaison ralentit son développement.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helminthosporiose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n’est pas rare d’observer des symptômes en automne. cependant, cette maladie 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devient nuisible qu’à partir du stade 1 nœud.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coloration brun foncé des deux faces. halo jaune non systématique mais caractéristique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maladie. les symptômes longent généralement les nervures. deux formes distinctes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existent : en réseau et linaire, ou en tache ovale.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températures douces, les variations brutales de températures, une humidité élevée et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lumière sont favorables à la sporulation et/ou à la germination. les spores sont véhiculées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le vent.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résistances des variétés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echelle de la résistance des variétés d’orge d’hiver à l’helminthosporiose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: arvalis - institut du végétal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orges 2 rangs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rouille naine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généralement à la fin de la montaison pour les variétés sensibles. des pustules peuvent être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observées en hiver, en particulier si celui-ci est très doux et les semis précoces.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la parcelle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répartition est homogène dans la parcelle (dissémination par le vent).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pustules allant du brun au brun orangé, dispersées sur la feuille, essentiellement sur la 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supérieure. les quelques pustules du début d’attaque peuvent générer des centaines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pustules, si le climat est chaud et humide.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champignon a besoin d'eau libre pour la germination des spores et son cycle est favorisé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des températures comprises entre 15 et 20°c.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“blé tendre+blé dur+orge d’hiver+triticale”&gt;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