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8e7cc3"/>
          <w:rtl w:val="0"/>
        </w:rPr>
        <w:t xml:space="preserve">&lt;cultureGlobale 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bulletin de santé du végétal - auvergnegrandes cultures n° 20 du 05 avril 2011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‘moutarde’&gt;</w:t>
      </w:r>
      <w:r w:rsidDel="00000000" w:rsidR="00000000" w:rsidRPr="00000000">
        <w:rPr>
          <w:rtl w:val="0"/>
        </w:rPr>
        <w:t xml:space="preserve">moutarde brune</w:t>
      </w:r>
      <w:r w:rsidDel="00000000" w:rsidR="00000000" w:rsidRPr="00000000">
        <w:rPr>
          <w:b w:val="1"/>
          <w:color w:val="1c4587"/>
          <w:rtl w:val="0"/>
        </w:rPr>
        <w:t xml:space="preserve">&lt;/skos:prefLabel = ‘moutarde’&gt;</w:t>
      </w:r>
      <w:r w:rsidDel="00000000" w:rsidR="00000000" w:rsidRPr="00000000">
        <w:rPr>
          <w:rtl w:val="0"/>
        </w:rPr>
        <w:t xml:space="preserve"> d’automne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réseau d’observation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réseau est constitué de 12 parcelles sur la région bourgogne, cette semaine 12 sur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 ont été observées.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n°36 du 15/10/2014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retenir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début de présence relativement généralisée de charançons du bourgeon terminal.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réseau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2014 - 2015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 des 18 parcelles déclarées à ce jour dans le réseau auvergne ont fait l'objet d'observations en ce début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semaine du 12 au 14 octobre 2014.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 des cultures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développement végétatif automnal des cultures se poursuit à la faveur de conditions douces et humides donc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"poussantes". toutes les parcelles observées en ce début de semaine ont ainsi dépassé le stade 3 feuilles et une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majorité le stade 6 feuilles, en se répartissant ainsi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- 1 parcelle (7 %) au stade 4 feuilles (b4 - bbch14),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- 1 parcelle (7 %) au stade 5 feuilles (b5 - bbch15),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- 7 parcelles (50 %) au stade 6 feuilles (b6 - bbch16),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- 3 parcelles (22 %) au stade 7 feuilles (b7 - bbch17),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- 2 parcelles (14 %) au stade 8 feuilles (b8 - bbch18).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observations ravageurs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charançon du bourgeon terminal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vol se généralise : on cumule depuis le dernier relevé de 1 à 49 captures dans 13 des 14 parcelles ayant fait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l'objet d'un relevé du piège sur végétation, avec plus de 10 captures dans 5 cas, le cumul le plus élevé (49 prises)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étant obtenu dans une parcelle du puy de dôme. si de nouvelles arrivées sont encore possibles, on peut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considérer entrer en période de risque avéré sur la région, comme c'est également le cas dans les régions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proches.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maintenir une observation régulière des pièges sur végétation pour détecter les nouvelles arrivées. pour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mémoire, il n’y a pas de seuil de risque pour ce ravageur mais étant donné sa nuisibilité potentielle - destruction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cœur par les larves - et l'impossibilité de les contrôler directement, il est considéré que la seule présence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adultes sur les parcelles - détectée au moment du vol par les captures dans les pièges sur végétation - constitue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risque, pour une période s’étalant de la présence de femelles aptes à pondre à l’automne (10 à 15 jours après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premières captures) au décollement du bourgeon, à reprise de végétation. a partir de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maturation des femelles les pontes s'accumulent progressivement dans les pétioles accentuant le risque dans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temps par accroissement des populations larvaires. les larves se développent d'abord dans les pétioles puis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peuvent passer dans les cœurs, sachant qu'un faible développement végétatif automnal accentue ce risque à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fois de passage et de destruction des bourgeons terminaux alors qu'un fort développement le minimise.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nb : attention de ne pas confondre les captures de charançons du bourgeon terminal avec celles de baris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toujours possibles dont la forme se distingue facilement : voir illustration dans les précédents bsv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altise d'hiver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1 à 32 captures cumulées depuis le dernier relevé sont obtenues dans 8 des 10 parcelles ayant fait l'objet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d'un relevé du piège enterré, signifiant une poursuite de l'activité des adultes.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 le stade des cultures (plus de 3 feuilles) affranchit du risque adulte (prélèvement de surface foliaire), 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conviendra d'évaluer en temps utile le risque larvaire, notamment dans les parcelles du puy de dôme montrant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plus fortes activités adultes, sachant que le contrôle éventuel du charançon du bourgeon terminal pourra avoir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arrière effet sur les adultes encore en activité et sur les premières infestations larvaires.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pucerons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sachant qu'une majorité de parcelles a maintenant dépassé le stade 6 feuilles / 6 semaines de végétation,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considérée comme la plus propice à la transmission des viroses, la pression pucerons demeure faible,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avec aucune présence de pucerons cendrés, 1 parcelle avec 10 % de plantes avec présence de pucerons 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navet et 1 parcelle avec 10 % de plantes avec présence de pucerons verts, pour 11 parcelles ayant fait l'objet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d'une observation pucerons spécifique.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mémoire, sur la période 6 premières semaines de végétation assimilées à l'acquisition de 6 feuilles depuis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levée, le seuil de risque est fixé à 20% de plantes porteuses de pucerons.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tenthrède de la rave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une présence limitée de dégât est rapportée sur 5 des 10 parcelles ayant fait l'objet d'une notation spécifique,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avec un risque minimisé par le développement atteint des cultures observées. demeurer néanmoins vigilant sur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parcelles n'ayant pas atteint 6 feuilles.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mémoire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de risque vis-à-vis des larves: depuis la levée jusqu’au stade 6 feuilles mais généralement plutôt entre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et 6 feuilles en cas de population larvaire importante.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: présence de larves en nombre important entrainant des dégâts sur feuilles supérieurs au 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la surface végétative.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8e7cc3"/>
          <w:rtl w:val="0"/>
        </w:rPr>
        <w:t xml:space="preserve">&lt;/cultureGlobale 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