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BYOB Structured Word Sample</w:t>
      </w:r>
    </w:p>
    <w:p>
      <w:r>
        <w:t>This DOCX file tests paragraph extraction, headings, table content, mixed Chinese and English text, and retrieval-friendly facts.</w:t>
      </w:r>
    </w:p>
    <w:p>
      <w:pPr>
        <w:pStyle w:val="Heading2"/>
      </w:pPr>
      <w:r>
        <w:t>Key Facts</w:t>
      </w:r>
    </w:p>
    <w:p>
      <w:pPr>
        <w:pStyle w:val="ListBullet"/>
      </w:pPr>
      <w:r>
        <w:t>BYOB is self-hosted and intended for AI Agent retrieval workflows.</w:t>
      </w:r>
    </w:p>
    <w:p>
      <w:pPr>
        <w:pStyle w:val="ListBullet"/>
      </w:pPr>
      <w:r>
        <w:t>PostgreSQL stores metadata and source-of-truth chunks.</w:t>
      </w:r>
    </w:p>
    <w:p>
      <w:pPr>
        <w:pStyle w:val="ListBullet"/>
      </w:pPr>
      <w:r>
        <w:t>MinIO stores uploaded sources, parsed assets, and parsed content snapshots.</w:t>
      </w:r>
    </w:p>
    <w:p>
      <w:pPr>
        <w:pStyle w:val="ListBullet"/>
      </w:pPr>
      <w:r>
        <w:t>Qdrant stores dense and sparse vector indexes.</w:t>
      </w:r>
    </w:p>
    <w:p>
      <w:pPr>
        <w:pStyle w:val="Heading2"/>
      </w:pPr>
      <w:r>
        <w:t>????</w:t>
      </w:r>
    </w:p>
    <w:p>
      <w:r>
        <w:t>?? Word ?????? DOCX ????????????????????????????</w:t>
      </w:r>
    </w:p>
    <w:p>
      <w:pPr>
        <w:pStyle w:val="Heading2"/>
      </w:pPr>
      <w:r>
        <w:t>Pipeline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Stage</w:t>
            </w:r>
          </w:p>
        </w:tc>
        <w:tc>
          <w:tcPr>
            <w:tcW w:type="dxa" w:w="2880"/>
          </w:tcPr>
          <w:p>
            <w:r>
              <w:t>Progress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Parsing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Extract text, tables, formulas, and assets</w:t>
            </w:r>
          </w:p>
        </w:tc>
      </w:tr>
      <w:tr>
        <w:tc>
          <w:tcPr>
            <w:tcW w:type="dxa" w:w="2880"/>
          </w:tcPr>
          <w:p>
            <w:r>
              <w:t>Chunking</w:t>
            </w:r>
          </w:p>
        </w:tc>
        <w:tc>
          <w:tcPr>
            <w:tcW w:type="dxa" w:w="2880"/>
          </w:tcPr>
          <w:p>
            <w:r>
              <w:t>56%</w:t>
            </w:r>
          </w:p>
        </w:tc>
        <w:tc>
          <w:tcPr>
            <w:tcW w:type="dxa" w:w="2880"/>
          </w:tcPr>
          <w:p>
            <w:r>
              <w:t>Split parsed content for retrieval</w:t>
            </w:r>
          </w:p>
        </w:tc>
      </w:tr>
      <w:tr>
        <w:tc>
          <w:tcPr>
            <w:tcW w:type="dxa" w:w="2880"/>
          </w:tcPr>
          <w:p>
            <w:r>
              <w:t>Embedding</w:t>
            </w:r>
          </w:p>
        </w:tc>
        <w:tc>
          <w:tcPr>
            <w:tcW w:type="dxa" w:w="2880"/>
          </w:tcPr>
          <w:p>
            <w:r>
              <w:t>70%</w:t>
            </w:r>
          </w:p>
        </w:tc>
        <w:tc>
          <w:tcPr>
            <w:tcW w:type="dxa" w:w="2880"/>
          </w:tcPr>
          <w:p>
            <w:r>
              <w:t>Generate vector embeddings</w:t>
            </w:r>
          </w:p>
        </w:tc>
      </w:tr>
      <w:tr>
        <w:tc>
          <w:tcPr>
            <w:tcW w:type="dxa" w:w="2880"/>
          </w:tcPr>
          <w:p>
            <w:r>
              <w:t>Indexing</w:t>
            </w:r>
          </w:p>
        </w:tc>
        <w:tc>
          <w:tcPr>
            <w:tcW w:type="dxa" w:w="2880"/>
          </w:tcPr>
          <w:p>
            <w:r>
              <w:t>92%</w:t>
            </w:r>
          </w:p>
        </w:tc>
        <w:tc>
          <w:tcPr>
            <w:tcW w:type="dxa" w:w="2880"/>
          </w:tcPr>
          <w:p>
            <w:r>
              <w:t>Write vectors to Qdrant</w:t>
            </w:r>
          </w:p>
        </w:tc>
      </w:tr>
    </w:tbl>
    <w:p>
      <w:pPr>
        <w:pStyle w:val="Heading2"/>
      </w:pPr>
      <w:r>
        <w:t>Embedded Image</w:t>
      </w:r>
    </w:p>
    <w:p>
      <w:pPr>
        <w:jc w:val="left"/>
      </w:pPr>
      <w:r>
        <w:t>The image below is embedded in the DOCX package for parser compatibility checks.</w:t>
      </w:r>
    </w:p>
    <w:p>
      <w:r>
        <w:drawing>
          <wp:inline xmlns:a="http://schemas.openxmlformats.org/drawingml/2006/main" xmlns:pic="http://schemas.openxmlformats.org/drawingml/2006/picture">
            <wp:extent cx="3840480" cy="14401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docx_embedded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440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query: Which storage backend keeps parsed content snapshots?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