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F7F" w14:textId="77777777" w:rsidR="009A0487" w:rsidRPr="009C541F" w:rsidRDefault="00FE4E9C">
      <w:pPr>
        <w:pStyle w:val="Title"/>
      </w:pPr>
      <w:r w:rsidRPr="00FE4E9C">
        <w:t xml:space="preserve">Pengembangan Pemanfaatan Pembelajaran Mesin dalam Pendidikan Teknik: </w:t>
      </w:r>
      <w:r w:rsidR="00B67FA8">
        <w:t>Sebuah Tinjauan Sastra</w:t>
      </w:r>
    </w:p>
    <w:p w14:paraId="0FD377FA" w14:textId="77777777" w:rsidR="009A0487" w:rsidRDefault="0075177D">
      <w:pPr>
        <w:pStyle w:val="Authors"/>
      </w:pPr>
      <w:r>
        <w:t>F Sasmita</w:t>
      </w:r>
      <w:r w:rsidR="008A1F3C">
        <w:t>*,</w:t>
      </w:r>
      <w:r w:rsidR="002D424F">
        <w:t xml:space="preserve"> B Mulyanti</w:t>
      </w:r>
      <w:r w:rsidR="00FA5FF9">
        <w:t xml:space="preserve">, and I </w:t>
      </w:r>
      <w:r w:rsidR="00FA5FF9" w:rsidRPr="00FA5FF9">
        <w:t>Widyanti</w:t>
      </w:r>
    </w:p>
    <w:p w14:paraId="3EAE6752" w14:textId="77777777" w:rsidR="009A0487" w:rsidRDefault="0068313A" w:rsidP="00006EA6">
      <w:pPr>
        <w:pStyle w:val="Addresses"/>
        <w:spacing w:after="0"/>
      </w:pPr>
      <w:r w:rsidRPr="0068313A">
        <w:t>Jl. Dr. Setiabudi No.229, Isola, Kec. Sukasari, Kota Bandung, Jawa Barat 40154</w:t>
      </w:r>
    </w:p>
    <w:p w14:paraId="43BE82CA" w14:textId="77777777" w:rsidR="00006EA6" w:rsidRDefault="00006EA6">
      <w:pPr>
        <w:pStyle w:val="E-mail"/>
      </w:pPr>
    </w:p>
    <w:p w14:paraId="7EAC5C97" w14:textId="77777777" w:rsidR="009A0487" w:rsidRDefault="00942593">
      <w:pPr>
        <w:pStyle w:val="E-mail"/>
      </w:pPr>
      <w:r>
        <w:t>*</w:t>
      </w:r>
      <w:r w:rsidR="008452E8">
        <w:t>firdamdamsasmita@upi.edu</w:t>
      </w:r>
    </w:p>
    <w:p w14:paraId="35690B8F" w14:textId="77777777" w:rsidR="009A0487" w:rsidRDefault="009A0487" w:rsidP="002D28FF">
      <w:pPr>
        <w:pStyle w:val="Abstract"/>
        <w:jc w:val="left"/>
      </w:pPr>
      <w:r>
        <w:rPr>
          <w:b/>
        </w:rPr>
        <w:t>Abstract</w:t>
      </w:r>
      <w:r>
        <w:t xml:space="preserve">. </w:t>
      </w:r>
      <w:r w:rsidR="002D28FF">
        <w:t>Studi</w:t>
      </w:r>
      <w:r w:rsidR="00DA09F2" w:rsidRPr="00DA09F2">
        <w:t xml:space="preserve"> ini bertujuan untuk meninjau perkembangan pembelajaran mesin dan </w:t>
      </w:r>
      <w:r w:rsidR="00243268">
        <w:t xml:space="preserve">konteks </w:t>
      </w:r>
      <w:r w:rsidR="00DA09F2" w:rsidRPr="00DA09F2">
        <w:t>penggunaannya dalam pendidikan teknik</w:t>
      </w:r>
      <w:r w:rsidR="00E56D5D">
        <w:t xml:space="preserve">. </w:t>
      </w:r>
      <w:r w:rsidR="00DA09F2" w:rsidRPr="00DA09F2">
        <w:t xml:space="preserve">Metode yang digunakan adalah studi literatur, dengan menggunakan data sekunder, dari jurnal internasional </w:t>
      </w:r>
      <w:r w:rsidR="002D28FF">
        <w:t>bereputasi</w:t>
      </w:r>
      <w:r w:rsidR="00DA09F2" w:rsidRPr="00DA09F2">
        <w:t>, yang diterbitkan pada 2015 hingga 2019 dari berbagai penerbit.</w:t>
      </w:r>
      <w:r w:rsidR="00243268">
        <w:t xml:space="preserve"> Penulis merangkum dan menganalisa setiap artikel yang diperoleh berdasarkan</w:t>
      </w:r>
      <w:r w:rsidR="00E56D5D">
        <w:t xml:space="preserve"> tahun publikasi </w:t>
      </w:r>
      <w:r w:rsidR="00243268">
        <w:t xml:space="preserve">dan konteks artikel.  </w:t>
      </w:r>
      <w:commentRangeStart w:id="0"/>
      <w:r w:rsidR="00DA09F2" w:rsidRPr="00DA09F2">
        <w:t xml:space="preserve">Hasil </w:t>
      </w:r>
      <w:r w:rsidR="002D28FF">
        <w:t xml:space="preserve">studi </w:t>
      </w:r>
      <w:r w:rsidR="00DA09F2" w:rsidRPr="00DA09F2">
        <w:t xml:space="preserve">menunjukkan bahwa pembelajaran mesin </w:t>
      </w:r>
      <w:r w:rsidR="002D28FF" w:rsidRPr="00DA09F2">
        <w:t xml:space="preserve">telah diterapkan </w:t>
      </w:r>
      <w:r w:rsidR="00DA09F2" w:rsidRPr="00DA09F2">
        <w:t xml:space="preserve">dalam pendidikan teknik </w:t>
      </w:r>
      <w:r w:rsidR="002D28FF">
        <w:t>di beberapa negara pada J</w:t>
      </w:r>
      <w:r w:rsidR="00DA09F2" w:rsidRPr="00DA09F2">
        <w:t xml:space="preserve">urusan </w:t>
      </w:r>
      <w:r w:rsidR="002D28FF">
        <w:t>T</w:t>
      </w:r>
      <w:r w:rsidR="00DA09F2" w:rsidRPr="00DA09F2">
        <w:t xml:space="preserve">eknik </w:t>
      </w:r>
      <w:r w:rsidR="002D28FF">
        <w:t>E</w:t>
      </w:r>
      <w:r w:rsidR="00DA09F2" w:rsidRPr="00DA09F2">
        <w:t xml:space="preserve">lektro, </w:t>
      </w:r>
      <w:r w:rsidR="002D28FF">
        <w:t>Teknik Mesin, Teknik K</w:t>
      </w:r>
      <w:r w:rsidR="00DA09F2" w:rsidRPr="00DA09F2">
        <w:t xml:space="preserve">ehutanan, </w:t>
      </w:r>
      <w:r w:rsidR="002D28FF">
        <w:t>Il</w:t>
      </w:r>
      <w:r w:rsidR="00DA09F2" w:rsidRPr="00DA09F2">
        <w:t xml:space="preserve">lmu </w:t>
      </w:r>
      <w:r w:rsidR="002D28FF">
        <w:t>K</w:t>
      </w:r>
      <w:r w:rsidR="00DA09F2" w:rsidRPr="00DA09F2">
        <w:t>omputer,</w:t>
      </w:r>
      <w:r w:rsidR="002D28FF">
        <w:t>Teknik</w:t>
      </w:r>
      <w:r w:rsidR="00DA09F2" w:rsidRPr="00DA09F2">
        <w:t xml:space="preserve"> </w:t>
      </w:r>
      <w:r w:rsidR="002D28FF">
        <w:t>K</w:t>
      </w:r>
      <w:r w:rsidR="00DA09F2" w:rsidRPr="00DA09F2">
        <w:t xml:space="preserve">edirgantaraan, </w:t>
      </w:r>
      <w:r w:rsidR="002D28FF">
        <w:t>M</w:t>
      </w:r>
      <w:r w:rsidR="00DA09F2" w:rsidRPr="00DA09F2">
        <w:t>atematika dan teknik fisika, dan rekayasa perangkat lunak.</w:t>
      </w:r>
      <w:commentRangeEnd w:id="0"/>
      <w:r w:rsidR="00110FF8">
        <w:rPr>
          <w:rStyle w:val="CommentReference"/>
          <w:color w:val="auto"/>
        </w:rPr>
        <w:commentReference w:id="0"/>
      </w:r>
      <w:bookmarkStart w:id="1" w:name="_GoBack"/>
      <w:bookmarkEnd w:id="1"/>
      <w:r w:rsidR="00DA09F2" w:rsidRPr="00DA09F2">
        <w:t xml:space="preserve"> </w:t>
      </w:r>
      <w:r w:rsidR="00F20A56" w:rsidRPr="00110FF8">
        <w:rPr>
          <w:color w:val="FF0000"/>
        </w:rPr>
        <w:t xml:space="preserve">Prediksi performa siswa menjadi salah satu konteks yang paling sering dibahas. </w:t>
      </w:r>
      <w:r w:rsidR="00F20A56">
        <w:t xml:space="preserve">Metode pembelajaran mesin yang paling banyak digunakan adalah </w:t>
      </w:r>
      <w:r w:rsidR="00F20A56" w:rsidRPr="005C3382">
        <w:rPr>
          <w:i/>
        </w:rPr>
        <w:t>Decision Tree</w:t>
      </w:r>
      <w:r w:rsidR="00F20A56">
        <w:t xml:space="preserve"> dan </w:t>
      </w:r>
      <w:r w:rsidR="00F20A56" w:rsidRPr="005C3382">
        <w:rPr>
          <w:i/>
        </w:rPr>
        <w:t>Random Forest</w:t>
      </w:r>
      <w:r w:rsidR="00F20A56">
        <w:t xml:space="preserve">. </w:t>
      </w:r>
      <w:r w:rsidR="00DA09F2" w:rsidRPr="00DA09F2">
        <w:t xml:space="preserve">Secara umum, pemanfaatan </w:t>
      </w:r>
      <w:r w:rsidR="00110FF8">
        <w:t xml:space="preserve">machine learning </w:t>
      </w:r>
      <w:r w:rsidR="00DA09F2" w:rsidRPr="00DA09F2">
        <w:t xml:space="preserve">memudahkan </w:t>
      </w:r>
      <w:r w:rsidR="00110FF8">
        <w:t>siswa</w:t>
      </w:r>
      <w:r w:rsidR="00DA09F2" w:rsidRPr="00DA09F2">
        <w:t xml:space="preserve"> untuk menyelesaikan pekerjaan mereka secara otomatis. Penelitian ini diharapkan dapat menjadi referensi bagi peneliti tentang bagaimana pengembangan pembelajaran mesin dalam Pendidikan Teknik untuk menentukan topik pembelajaran mesin yang dapat diimplementasikan pada Pendidikan Teknis dan Kejuruan dalam penelitian selanjutnya.</w:t>
      </w:r>
    </w:p>
    <w:p w14:paraId="19ED4CC9" w14:textId="77777777" w:rsidR="009A0487" w:rsidRDefault="00C73D56">
      <w:pPr>
        <w:pStyle w:val="Section"/>
      </w:pPr>
      <w:r>
        <w:t>Pendahuluan</w:t>
      </w:r>
    </w:p>
    <w:p w14:paraId="3FA77AB5" w14:textId="77777777" w:rsidR="00D11F9A" w:rsidRDefault="00633A1F" w:rsidP="002E280A">
      <w:pPr>
        <w:pStyle w:val="BodytextIndented"/>
      </w:pPr>
      <w:r>
        <w:t xml:space="preserve">Revolusi digital 4.0 telah mendorong transformasi yang </w:t>
      </w:r>
      <w:r w:rsidR="00110FF8">
        <w:t>sangat besar</w:t>
      </w:r>
      <w:r>
        <w:t xml:space="preserve"> dalam dunia pendidikan</w:t>
      </w:r>
      <w:r w:rsidR="00543B09">
        <w:t xml:space="preserve"> </w:t>
      </w:r>
      <w:r w:rsidR="00543B09">
        <w:fldChar w:fldCharType="begin" w:fldLock="1"/>
      </w:r>
      <w:r w:rsidR="00B802FD">
        <w:instrText>ADDIN CSL_CITATION {"citationItems":[{"id":"ITEM-1","itemData":{"DOI":"10.1086/659215","ISSN":"01956744","author":[{"dropping-particle":"","family":"Birch","given":"Christopher","non-dropping-particle":"","parse-names":false,"suffix":""}],"container-title":"American Journal of Education","id":"ITEM-1","issue":"3","issued":{"date-parts":[["2011"]]},"page":"433-436","title":"Rethinking Education in the Age of Technology: The Digital Revolution and Schooling in America by Allan Collins and Richard Halverson","type":"article-journal","volume":"117"},"uris":["http://www.mendeley.com/documents/?uuid=19b57a89-d08d-43ec-a0c5-a702ee987dad"]}],"mendeley":{"formattedCitation":"[1]","plainTextFormattedCitation":"[1]","previouslyFormattedCitation":"[1]"},"properties":{"noteIndex":0},"schema":"https://github.com/citation-style-language/schema/raw/master/csl-citation.json"}</w:instrText>
      </w:r>
      <w:r w:rsidR="00543B09">
        <w:fldChar w:fldCharType="separate"/>
      </w:r>
      <w:r w:rsidR="00543B09" w:rsidRPr="00543B09">
        <w:rPr>
          <w:noProof/>
        </w:rPr>
        <w:t>[1]</w:t>
      </w:r>
      <w:r w:rsidR="00543B09">
        <w:fldChar w:fldCharType="end"/>
      </w:r>
      <w:r>
        <w:t xml:space="preserve">. </w:t>
      </w:r>
      <w:r w:rsidR="00EF2F69">
        <w:t xml:space="preserve">Dengan perkembangan yang pesat, teknologi digital menjadi tantangan baru untuk pendidikan konvensional, dari pendidikan dasar hingga pendidikan tinggi </w:t>
      </w:r>
      <w:r w:rsidR="00B802FD">
        <w:fldChar w:fldCharType="begin" w:fldLock="1"/>
      </w:r>
      <w:r w:rsidR="000C163B">
        <w:instrText>ADDIN CSL_CITATION {"citationItems":[{"id":"ITEM-1","itemData":{"DOI":"10.2991/icovet-18.2019.15","author":[{"dropping-particle":"","family":"Larasati","given":"Aisyah","non-dropping-particle":"","parse-names":false,"suffix":""},{"dropping-particle":"","family":"Miftahul Hajji","given":"Apif","non-dropping-particle":"","parse-names":false,"suffix":""},{"dropping-particle":"","family":"Handayani","given":"Anik Nur","non-dropping-particle":"","parse-names":false,"suffix":""}],"id":"ITEM-1","issue":"Icovet 2018","issued":{"date-parts":[["2019"]]},"page":"57-59","title":"Preferences Analysis of Engineering Students on Choosing Learning Media using Support Vector Machine (SVM) Model","type":"article-journal","volume":"242"},"uris":["http://www.mendeley.com/documents/?uuid=ae14c8b2-60e7-41fe-9055-4ec08649f9a4"]}],"mendeley":{"formattedCitation":"[2]","plainTextFormattedCitation":"[2]","previouslyFormattedCitation":"[2]"},"properties":{"noteIndex":0},"schema":"https://github.com/citation-style-language/schema/raw/master/csl-citation.json"}</w:instrText>
      </w:r>
      <w:r w:rsidR="00B802FD">
        <w:fldChar w:fldCharType="separate"/>
      </w:r>
      <w:r w:rsidR="00B802FD" w:rsidRPr="00B802FD">
        <w:rPr>
          <w:noProof/>
        </w:rPr>
        <w:t>[2]</w:t>
      </w:r>
      <w:r w:rsidR="00B802FD">
        <w:fldChar w:fldCharType="end"/>
      </w:r>
      <w:r w:rsidR="00EF2F69">
        <w:t xml:space="preserve">. </w:t>
      </w:r>
      <w:r w:rsidR="00337CC0">
        <w:t>Sekarang ini, teknologi pembelajaran mesin menjadi perhatian lebih</w:t>
      </w:r>
      <w:r w:rsidR="000C163B">
        <w:t xml:space="preserve"> </w:t>
      </w:r>
      <w:r w:rsidR="000C163B">
        <w:fldChar w:fldCharType="begin" w:fldLock="1"/>
      </w:r>
      <w:r w:rsidR="00471A42">
        <w:instrText>ADDIN CSL_CITATION {"citationItems":[{"id":"ITEM-1","itemData":{"DOI":"10.1109/JSTSP.2017.2692560","ISSN":"19324553","abstract":"Accurately predicting students' future performance based on their ongoing academic records is crucial for effectively carrying out necessary pedagogical interventions to ensure students' on-time and satisfactory graduation. Although there is a rich literature on predicting student performance when solving problems or studying for courses using data-driven approaches, predicting student performance in completing degrees (e.g., college programs) is much less studied and faces new challenges: 1) Students differ tremendously in terms of backgrounds and selected courses; 2) courses are not equally informative for making accurate predictions; and 3) students' evolving progress needs to be incorporated into the prediction. In this paper, we develop a novel machine learning method for predicting student performance in degree programs that is able to address these key challenges. The proposed method has two major features. First, a bilayered structure comprising multiple base predictors and a cascade of ensemble predictors is developed for making predictions based on students' evolving performance states. Second, a data-driven approach based on latent factor models and probabilistic matrix factorization is proposed to discover course relevance, which is important for constructing efficient base predictors. Through extensive simulations on an undergraduate student dataset collected over three years at University of California, Los Angeles, we show that the proposed method achieves superior performance to benchmark approaches.","author":[{"dropping-particle":"","family":"Xu","given":"Jie","non-dropping-particle":"","parse-names":false,"suffix":""},{"dropping-particle":"","family":"Moon","given":"Kyeong Ho","non-dropping-particle":"","parse-names":false,"suffix":""},{"dropping-particle":"","family":"Schaar","given":"Mihaela","non-dropping-particle":"Van Der","parse-names":false,"suffix":""}],"container-title":"IEEE Journal on Selected Topics in Signal Processing","id":"ITEM-1","issue":"5","issued":{"date-parts":[["2017"]]},"page":"742-753","title":"A Machine Learning Approach for Tracking and Predicting Student Performance in Degree Programs","type":"article-journal","volume":"11"},"uris":["http://www.mendeley.com/documents/?uuid=44be648b-2ab0-4203-a0fd-14fb32d3ab58"]}],"mendeley":{"formattedCitation":"[3]","plainTextFormattedCitation":"[3]","previouslyFormattedCitation":"[3]"},"properties":{"noteIndex":0},"schema":"https://github.com/citation-style-language/schema/raw/master/csl-citation.json"}</w:instrText>
      </w:r>
      <w:r w:rsidR="000C163B">
        <w:fldChar w:fldCharType="separate"/>
      </w:r>
      <w:r w:rsidR="000C163B" w:rsidRPr="000C163B">
        <w:rPr>
          <w:noProof/>
        </w:rPr>
        <w:t>[3]</w:t>
      </w:r>
      <w:r w:rsidR="000C163B">
        <w:fldChar w:fldCharType="end"/>
      </w:r>
      <w:r w:rsidR="00337CC0">
        <w:t xml:space="preserve">. </w:t>
      </w:r>
      <w:r w:rsidR="000C163B">
        <w:t>P</w:t>
      </w:r>
      <w:r w:rsidR="00343055">
        <w:t xml:space="preserve">embelajaran mesin memiliki </w:t>
      </w:r>
      <w:r w:rsidR="002F7FBE">
        <w:t xml:space="preserve">potensi untuk merevolusionerkan </w:t>
      </w:r>
      <w:r w:rsidR="00423C0A">
        <w:t>pendidikan</w:t>
      </w:r>
      <w:r w:rsidR="00343055">
        <w:t xml:space="preserve"> </w:t>
      </w:r>
      <w:r w:rsidR="002F7FBE">
        <w:t xml:space="preserve">dalam bidang </w:t>
      </w:r>
      <w:r w:rsidR="00626481">
        <w:t>teknik</w:t>
      </w:r>
      <w:r w:rsidR="00343055">
        <w:t xml:space="preserve"> </w:t>
      </w:r>
      <w:r w:rsidR="00D253FA">
        <w:fldChar w:fldCharType="begin" w:fldLock="1"/>
      </w:r>
      <w:r w:rsidR="00471A42">
        <w:instrText>ADDIN CSL_CITATION {"citationItems":[{"id":"ITEM-1","itemData":{"DOI":"10.1109/EDUCON.2019.8725237","ISBN":"9781538695067","ISSN":"21659567","abstract":"Machine Learning (ML) is expected, in the near future, to provide various venues and effective tools to improve education in general, and Science-Technology-Engineering- Mathematics (STEM) education in particular. The Gartner Analytics Ascendancy Model requires the use of four types of data analytics to be considered comprehensive: descriptive, diagnostic, predictive and prescriptive data analytics. This paper presents the outcomes of a research and development project at Bradley University (Peoria, IL, USA) aimed at the setup and benchmarking of eight ML algorithms for predictive learning analytics, specifically, a prediction of student academic performance in a course. The analyzed and tested ML algorithms include linear regression, logistic regression, k- nearest neighbor classification, naïve Bayes classification, artificial neural network regression and classification, decision tree classification, random forest classification, and support vector machine classification. Based on the obtained accuracy of the analyzed and tested ML algorithms, we have formulated a set of recommendations for faculty and practitioners in terms of selection, setup and utilization of ML algorithms in predictive analytics in STEM education. We also performed formative and summative surveys of undergraduate and graduate students in Computer Science and Computer Information Systems courses to understand their opinion about utilization of ML-based predictive analytics in education; a summary of obtained student feedback is presented in this paper.","author":[{"dropping-particle":"","family":"Uskov","given":"Vladimir L.","non-dropping-particle":"","parse-names":false,"suffix":""},{"dropping-particle":"","family":"Bakken","given":"Jeffrey P.","non-dropping-particle":"","parse-names":false,"suffix":""},{"dropping-particle":"","family":"Byerly","given":"Adam","non-dropping-particle":"","parse-names":false,"suffix":""},{"dropping-particle":"","family":"Shah","given":"Ashok","non-dropping-particle":"","parse-names":false,"suffix":""}],"container-title":"IEEE Global Engineering Education Conference, EDUCON","id":"ITEM-1","issued":{"date-parts":[["2019"]]},"page":"1370-1376","title":"Machine learning-based predictive analytics of student academic performance in STEM education","type":"article-journal","volume":"April-2019"},"uris":["http://www.mendeley.com/documents/?uuid=fa0be5f7-f7bd-4956-aed6-ad787b35bfd2"]}],"mendeley":{"formattedCitation":"[4]","plainTextFormattedCitation":"[4]","previouslyFormattedCitation":"[4]"},"properties":{"noteIndex":0},"schema":"https://github.com/citation-style-language/schema/raw/master/csl-citation.json"}</w:instrText>
      </w:r>
      <w:r w:rsidR="00D253FA">
        <w:fldChar w:fldCharType="separate"/>
      </w:r>
      <w:r w:rsidR="000C163B" w:rsidRPr="000C163B">
        <w:rPr>
          <w:noProof/>
        </w:rPr>
        <w:t>[4]</w:t>
      </w:r>
      <w:r w:rsidR="00D253FA">
        <w:fldChar w:fldCharType="end"/>
      </w:r>
      <w:r w:rsidR="00343055">
        <w:t>.</w:t>
      </w:r>
      <w:r w:rsidR="00D253FA">
        <w:t xml:space="preserve"> </w:t>
      </w:r>
      <w:commentRangeStart w:id="2"/>
      <w:commentRangeStart w:id="3"/>
      <w:r w:rsidR="00690EAA" w:rsidRPr="00110FF8">
        <w:rPr>
          <w:color w:val="FF0000"/>
        </w:rPr>
        <w:t xml:space="preserve">Maka dari itu, pengetahuan terhadap </w:t>
      </w:r>
      <w:r w:rsidR="004918AD" w:rsidRPr="00110FF8">
        <w:rPr>
          <w:color w:val="FF0000"/>
        </w:rPr>
        <w:t xml:space="preserve">perkembangan </w:t>
      </w:r>
      <w:r w:rsidR="00690EAA" w:rsidRPr="00110FF8">
        <w:rPr>
          <w:color w:val="FF0000"/>
        </w:rPr>
        <w:t xml:space="preserve">teknologi pembelajaran mesin </w:t>
      </w:r>
      <w:r w:rsidR="006D742B" w:rsidRPr="00110FF8">
        <w:rPr>
          <w:color w:val="FF0000"/>
        </w:rPr>
        <w:t xml:space="preserve">dalam </w:t>
      </w:r>
      <w:r w:rsidR="004138BC" w:rsidRPr="00110FF8">
        <w:rPr>
          <w:color w:val="FF0000"/>
        </w:rPr>
        <w:t xml:space="preserve">pendidikan </w:t>
      </w:r>
      <w:r w:rsidR="00690EAA" w:rsidRPr="00110FF8">
        <w:rPr>
          <w:color w:val="FF0000"/>
        </w:rPr>
        <w:t>perlu diketahui</w:t>
      </w:r>
      <w:r w:rsidR="007D64CF" w:rsidRPr="00110FF8">
        <w:rPr>
          <w:color w:val="FF0000"/>
        </w:rPr>
        <w:t xml:space="preserve"> [ref]</w:t>
      </w:r>
      <w:r w:rsidR="00690EAA" w:rsidRPr="00110FF8">
        <w:rPr>
          <w:color w:val="FF0000"/>
        </w:rPr>
        <w:t>.</w:t>
      </w:r>
      <w:r w:rsidR="007D64CF" w:rsidRPr="00110FF8">
        <w:rPr>
          <w:color w:val="FF0000"/>
        </w:rPr>
        <w:t xml:space="preserve"> </w:t>
      </w:r>
      <w:commentRangeEnd w:id="2"/>
      <w:r w:rsidR="00110FF8">
        <w:rPr>
          <w:rStyle w:val="CommentReference"/>
          <w:iCs w:val="0"/>
          <w:color w:val="auto"/>
          <w:lang w:val="en-GB"/>
        </w:rPr>
        <w:commentReference w:id="2"/>
      </w:r>
      <w:commentRangeEnd w:id="3"/>
      <w:r w:rsidR="00057D27">
        <w:rPr>
          <w:rStyle w:val="CommentReference"/>
          <w:iCs w:val="0"/>
          <w:color w:val="auto"/>
          <w:lang w:val="en-GB"/>
        </w:rPr>
        <w:commentReference w:id="3"/>
      </w:r>
    </w:p>
    <w:p w14:paraId="171B5ABB" w14:textId="77777777" w:rsidR="00F00BBB" w:rsidRPr="00110FF8" w:rsidRDefault="00C17BCA" w:rsidP="00110FF8">
      <w:pPr>
        <w:pStyle w:val="BodytextIndented"/>
      </w:pPr>
      <w:commentRangeStart w:id="4"/>
      <w:r>
        <w:t xml:space="preserve">Dari tahun 2013 sampai dengan 2019, </w:t>
      </w:r>
      <w:r w:rsidR="00177909">
        <w:t>tinjauan terhadap</w:t>
      </w:r>
      <w:r>
        <w:t xml:space="preserve"> </w:t>
      </w:r>
      <w:r w:rsidR="00177909">
        <w:t>artikel</w:t>
      </w:r>
      <w:r>
        <w:t xml:space="preserve"> pembelajaran mesin di bidang pendidikan</w:t>
      </w:r>
      <w:r w:rsidR="00110FF8">
        <w:t xml:space="preserve"> </w:t>
      </w:r>
      <w:r>
        <w:t xml:space="preserve">telah dilakukan oleh beberapa peneliti, diantaranya </w:t>
      </w:r>
      <w:r w:rsidR="00471A42">
        <w:t>Chrysafiadi &amp; Virvou (2013)</w:t>
      </w:r>
      <w:r w:rsidR="00C553CC">
        <w:t>,</w:t>
      </w:r>
      <w:r w:rsidR="00715482">
        <w:t xml:space="preserve"> </w:t>
      </w:r>
      <w:r w:rsidR="008B6B2D">
        <w:t>terkait dengan</w:t>
      </w:r>
      <w:r w:rsidR="00715482">
        <w:t xml:space="preserve"> pemodelan siswa</w:t>
      </w:r>
      <w:r w:rsidR="00C553CC">
        <w:t xml:space="preserve"> </w:t>
      </w:r>
      <w:r w:rsidR="00C553CC">
        <w:fldChar w:fldCharType="begin" w:fldLock="1"/>
      </w:r>
      <w:r w:rsidR="00C553CC">
        <w:instrText>ADDIN CSL_CITATION {"citationItems":[{"id":"ITEM-1","itemData":{"DOI":"10.1016/j.eswa.2013.02.007","ISSN":"09574174","abstract":"This paper constitutes a literature review on student modeling for the last decade. The review aims at answering three basic questions on student modeling: what to model, how and why. The prevailing student modeling approaches that have been used in the past 10 years are described, the aspects of students' characteristics that were taken into consideration are presented and how a student model can be used in order to provide adaptivity and personalisation in computer-based educational software is highlighted. This paper aims to provide important information to researchers, educators and software developers of computer-based educational software ranging from e-learning and mobile learning systems to educational games including stand alone educational applications and intelligent tutoring systems. In addition, this paper can be used as a guide for making decisions about the techniques that should be adopted when designing a student model for an adaptive tutoring system. One significant conclusion is that the most preferred technique for representing the student's mastery of knowledge is the overlay approach. Also, stereotyping seems to be ideal for modeling students' learning styles and preferences. Furthermore, affective student modeling has had a rapid growth over the past years, while it has been noticed an increase in the adoption of fuzzy techniques and Bayesian networks in order to deal the uncertainty of student modeling. © 2013 Elsevier Ltd. All rights reserved.","author":[{"dropping-particle":"","family":"Chrysafiadi","given":"Konstantina","non-dropping-particle":"","parse-names":false,"suffix":""},{"dropping-particle":"","family":"Virvou","given":"Maria","non-dropping-particle":"","parse-names":false,"suffix":""}],"container-title":"Expert Systems with Applications","id":"ITEM-1","issue":"11","issued":{"date-parts":[["2013"]]},"page":"4715-4729","publisher":"Elsevier Ltd","title":"Student modeling approaches: A literature review for the last decade","type":"article-journal","volume":"40"},"uris":["http://www.mendeley.com/documents/?uuid=3337df64-1cf0-41e3-bf28-369320f0390d"]}],"mendeley":{"formattedCitation":"[5]","plainTextFormattedCitation":"[5]","previouslyFormattedCitation":"[5]"},"properties":{"noteIndex":0},"schema":"https://github.com/citation-style-language/schema/raw/master/csl-citation.json"}</w:instrText>
      </w:r>
      <w:r w:rsidR="00C553CC">
        <w:fldChar w:fldCharType="separate"/>
      </w:r>
      <w:r w:rsidR="00C553CC" w:rsidRPr="00471A42">
        <w:rPr>
          <w:noProof/>
        </w:rPr>
        <w:t>[5]</w:t>
      </w:r>
      <w:r w:rsidR="00C553CC">
        <w:fldChar w:fldCharType="end"/>
      </w:r>
      <w:r w:rsidR="002641E5">
        <w:t xml:space="preserve">. </w:t>
      </w:r>
      <w:r w:rsidR="00A53D16">
        <w:t>D</w:t>
      </w:r>
      <w:r w:rsidR="00C553CC">
        <w:t xml:space="preserve">alipi et al (2018), </w:t>
      </w:r>
      <w:r w:rsidR="004B5D9D">
        <w:t xml:space="preserve">terkait dengan </w:t>
      </w:r>
      <w:r w:rsidR="0013633C">
        <w:t>prediksi dikeluarkannya siswa</w:t>
      </w:r>
      <w:r w:rsidR="00C553CC">
        <w:t xml:space="preserve"> </w:t>
      </w:r>
      <w:r w:rsidR="00110FF8">
        <w:t xml:space="preserve"> dari sekolah </w:t>
      </w:r>
      <w:r w:rsidR="00C553CC">
        <w:fldChar w:fldCharType="begin" w:fldLock="1"/>
      </w:r>
      <w:r w:rsidR="00C553CC">
        <w:instrText>ADDIN CSL_CITATION {"citationItems":[{"id":"ITEM-1","itemData":{"DOI":"10.1109/EDUCON.2018.8363340","ISBN":"9781538629574","ISSN":"21659567","abstract":"MOOC represents an ultimate way to deliver educational content in higher education settings by providing high-quality educational material to the students throughout the world. Considering the differences between traditional learning paradigm and MOOCs, a new research agenda focusing on predicting and explaining dropout of students and low completion rates in MOOCs has emerged. However, due to different problem specifications and evaluation metrics, performing a comparative analysis of state-of-The-Art machine learning architectures is a challenging task. In this paper, we provide an overview of the MOOC student dropout prediction phenomenon where machine learning techniques have been utilized. Furthermore, we highlight some solutions being used to tackle with dropout problem, provide an analysis about the challenges of prediction models, and propose some valuable insights and recommendations that might lead to developing useful and effective machine learning solutions to solve the MOOC dropout problem.","author":[{"dropping-particle":"","family":"Dalipi","given":"Fisnik","non-dropping-particle":"","parse-names":false,"suffix":""},{"dropping-particle":"","family":"Imran","given":"Ali Shariq","non-dropping-particle":"","parse-names":false,"suffix":""},{"dropping-particle":"","family":"Kastrati","given":"Zenun","non-dropping-particle":"","parse-names":false,"suffix":""}],"container-title":"IEEE Global Engineering Education Conference, EDUCON","id":"ITEM-1","issued":{"date-parts":[["2018"]]},"page":"1007-1014","title":"MOOC dropout prediction using machine learning techniques: Review and research challenges","type":"article-journal","volume":"2018-April"},"uris":["http://www.mendeley.com/documents/?uuid=3a7852c1-3bd3-46d6-9b8c-f22b01903903"]}],"mendeley":{"formattedCitation":"[6]","plainTextFormattedCitation":"[6]","previouslyFormattedCitation":"[6]"},"properties":{"noteIndex":0},"schema":"https://github.com/citation-style-language/schema/raw/master/csl-citation.json"}</w:instrText>
      </w:r>
      <w:r w:rsidR="00C553CC">
        <w:fldChar w:fldCharType="separate"/>
      </w:r>
      <w:r w:rsidR="00C553CC" w:rsidRPr="00267E4B">
        <w:rPr>
          <w:noProof/>
        </w:rPr>
        <w:t>[6]</w:t>
      </w:r>
      <w:r w:rsidR="00C553CC">
        <w:fldChar w:fldCharType="end"/>
      </w:r>
      <w:r w:rsidR="002641E5">
        <w:t>,</w:t>
      </w:r>
      <w:r w:rsidR="008E7CBF">
        <w:t xml:space="preserve"> </w:t>
      </w:r>
      <w:r w:rsidR="00CC20E8" w:rsidRPr="00CC20E8">
        <w:t xml:space="preserve">Buenaño-Fernandez </w:t>
      </w:r>
      <w:r w:rsidR="008E7CBF">
        <w:t>et al (2018)</w:t>
      </w:r>
      <w:r w:rsidR="00C553CC">
        <w:t xml:space="preserve">, </w:t>
      </w:r>
      <w:r w:rsidR="0013633C">
        <w:t>terkait dengan suatu alat yang digunakan untuk membuat keputusan</w:t>
      </w:r>
      <w:r w:rsidR="00C77497">
        <w:t xml:space="preserve"> di pendidikan teknik</w:t>
      </w:r>
      <w:r w:rsidR="00C553CC">
        <w:t xml:space="preserve"> </w:t>
      </w:r>
      <w:r w:rsidR="00C553CC">
        <w:fldChar w:fldCharType="begin" w:fldLock="1"/>
      </w:r>
      <w:r w:rsidR="00342559">
        <w:instrText>ADDIN CSL_CITATION {"citationItems":[{"id":"ITEM-1","itemData":{"DOI":"10.1002/cae.22100","ISSN":"10990542","abstract":"In recent years, there has been an increasing amount of theoretical and applied research that has focused on educational data mining. The learning analytics is a discipline that uses techniques, methods, and algorithms that allow the user to discover and extract patterns in stored educational data, with the purpose of improving the teaching-learning process. However, there are many requirements related to the use of new technologies in teaching-learning processes that are practically unaddressed from the learning analytics. In an analysis of the literature, the existence of a systematic revision of the application of learning analytics in the field of engineering education is not evident. The study described in this article provides researchers with an overview of the progress made to date and identifies areas in which research is missing. To this end, a systematic mapping study has been carried out, oriented toward the classification of publications that focus on the type of research and the type of contribution. The results show a trend toward case study research that is mainly directed at software and computer science engineering. Furthermore, trends in the application of learning analytics are highlighted in the topics, such as student retention or dropout prediction, analysis of academic student data, student learning assessment and student behavior analysis. Although this systematic mapping study has focused on the application of learning analytics in engineering education, some of the results can also be applied to other educational areas.","author":[{"dropping-particle":"","family":"Buenaño-Fernandez","given":"Diego","non-dropping-particle":"","parse-names":false,"suffix":""},{"dropping-particle":"","family":"Villegas-CH","given":"William","non-dropping-particle":"","parse-names":false,"suffix":""},{"dropping-particle":"","family":"Luján-Mora","given":"Sergio","non-dropping-particle":"","parse-names":false,"suffix":""}],"container-title":"Computer Applications in Engineering Education","id":"ITEM-1","issue":"3","issued":{"date-parts":[["2019"]]},"page":"744-758","title":"The use of tools of data mining to decision making in engineering education—A systematic mapping study","type":"article-journal","volume":"27"},"uris":["http://www.mendeley.com/documents/?uuid=4ec200cc-7fb1-4e00-a828-851e3c968711"]}],"mendeley":{"formattedCitation":"[7]","plainTextFormattedCitation":"[7]","previouslyFormattedCitation":"[7]"},"properties":{"noteIndex":0},"schema":"https://github.com/citation-style-language/schema/raw/master/csl-citation.json"}</w:instrText>
      </w:r>
      <w:r w:rsidR="00C553CC">
        <w:fldChar w:fldCharType="separate"/>
      </w:r>
      <w:r w:rsidR="00C553CC" w:rsidRPr="008E7CBF">
        <w:rPr>
          <w:noProof/>
        </w:rPr>
        <w:t>[7]</w:t>
      </w:r>
      <w:r w:rsidR="00C553CC">
        <w:fldChar w:fldCharType="end"/>
      </w:r>
      <w:r w:rsidR="00C94BF7">
        <w:t xml:space="preserve">. </w:t>
      </w:r>
      <w:r w:rsidR="00B83CFB">
        <w:t>Penelitian yang dilakukan Bacos</w:t>
      </w:r>
      <w:r w:rsidR="00110FF8">
        <w:t xml:space="preserve"> terkait dengan perkembangan teknologi pembelajaran mesin dalam bidang pendidikan</w:t>
      </w:r>
      <w:r w:rsidR="00B83CFB">
        <w:t xml:space="preserve"> </w:t>
      </w:r>
      <w:r w:rsidR="00B83CFB">
        <w:fldChar w:fldCharType="begin" w:fldLock="1"/>
      </w:r>
      <w:r w:rsidR="00342559">
        <w:instrText>ADDIN CSL_CITATION {"citationItems":[{"id":"ITEM-1","itemData":{"DOI":"10.1007/978-3-030-17798-0","ISBN":"9783030177980","abstract":"Today’s emerging technologies are moving in the direction of the human age. As technologies emerge in the educational setting, humans can evolve in the way they learn because of technology; and machines can evolve in the way they learn because of humans. Technology can be used to effectively observe and assesses human behaviors to better understand and respond to them. Whether the behaviors need to be adjusted or the behaviors are worth modeling, technology can provide support such as tools to track and collect data, assess performance, and provide meaningful feedback to the learner. In the human age of machine learning, the focus is less on technology and more on being human. To adapt to changing educational contexts, more effective applications of emerging technologies are needed. This paper explores the following novel applications of human-centered approaches to using technology in education: the quantiﬁed self, affective computing, emotional design, and pedagogical agents.","author":[{"dropping-particle":"","family":"Bacos","given":"Catherine A.","non-dropping-particle":"","parse-names":false,"suffix":""}],"id":"ITEM-1","issued":{"date-parts":[["2018"]]},"number-of-pages":"536-543","publisher":"Springer International Publishing","title":"Machine Learning and Education in the Human Age: A Review of Emerging Technologies","type":"book"},"uris":["http://www.mendeley.com/documents/?uuid=02b48b65-2442-47fc-9f9b-f4115ca76c8f"]}],"mendeley":{"formattedCitation":"[8]","plainTextFormattedCitation":"[8]","previouslyFormattedCitation":"[8]"},"properties":{"noteIndex":0},"schema":"https://github.com/citation-style-language/schema/raw/master/csl-citation.json"}</w:instrText>
      </w:r>
      <w:r w:rsidR="00B83CFB">
        <w:fldChar w:fldCharType="separate"/>
      </w:r>
      <w:r w:rsidR="00B83CFB" w:rsidRPr="008E7CBF">
        <w:rPr>
          <w:noProof/>
        </w:rPr>
        <w:t>[8]</w:t>
      </w:r>
      <w:r w:rsidR="00B83CFB">
        <w:fldChar w:fldCharType="end"/>
      </w:r>
      <w:r w:rsidR="00B83CFB">
        <w:t xml:space="preserve"> menunjukan bahwa sampai dengan tahun 2019, p</w:t>
      </w:r>
      <w:r w:rsidR="003615B1">
        <w:t xml:space="preserve">embelajaran mesin pada bidang pendidikan masih menjadi fokus dan minat para peneliti. </w:t>
      </w:r>
      <w:r w:rsidR="00652CBF">
        <w:t>Maka dari itu</w:t>
      </w:r>
      <w:r w:rsidR="003615B1">
        <w:t xml:space="preserve">, </w:t>
      </w:r>
      <w:r w:rsidR="003E2056">
        <w:t>p</w:t>
      </w:r>
      <w:r w:rsidR="003E2056" w:rsidRPr="00DA09F2">
        <w:t>enelitian ini bertujuan untuk meninjau perkembangan pembelajaran mesin dan penggunaannya dalam pendidikan teknik</w:t>
      </w:r>
      <w:r w:rsidR="00BA6056">
        <w:rPr>
          <w:lang w:val="en-GB"/>
        </w:rPr>
        <w:t>.</w:t>
      </w:r>
      <w:commentRangeEnd w:id="4"/>
      <w:r w:rsidR="00C94BF7">
        <w:rPr>
          <w:rStyle w:val="CommentReference"/>
          <w:iCs w:val="0"/>
          <w:color w:val="auto"/>
          <w:lang w:val="en-GB"/>
        </w:rPr>
        <w:commentReference w:id="4"/>
      </w:r>
    </w:p>
    <w:p w14:paraId="0F747DC5" w14:textId="77777777" w:rsidR="00C8354B" w:rsidRDefault="00C8354B" w:rsidP="00B36AEB">
      <w:pPr>
        <w:pStyle w:val="BodytextIndented"/>
        <w:rPr>
          <w:lang w:val="en-GB"/>
        </w:rPr>
      </w:pPr>
    </w:p>
    <w:p w14:paraId="0309AD23" w14:textId="77777777" w:rsidR="00C8354B" w:rsidRPr="00B36AEB" w:rsidRDefault="00C8354B" w:rsidP="00B36AEB">
      <w:pPr>
        <w:pStyle w:val="BodytextIndented"/>
      </w:pPr>
    </w:p>
    <w:p w14:paraId="2543BE88" w14:textId="77777777" w:rsidR="00A13930" w:rsidRDefault="00B36AEB" w:rsidP="00A13930">
      <w:pPr>
        <w:pStyle w:val="Section"/>
      </w:pPr>
      <w:r>
        <w:lastRenderedPageBreak/>
        <w:t>Metode</w:t>
      </w:r>
    </w:p>
    <w:p w14:paraId="32F11E55" w14:textId="77777777" w:rsidR="003D2DCB" w:rsidRDefault="008904AE" w:rsidP="00D4397E">
      <w:pPr>
        <w:pStyle w:val="Bodytext"/>
        <w:ind w:firstLine="284"/>
        <w:rPr>
          <w:lang w:val="en-GB"/>
        </w:rPr>
      </w:pPr>
      <w:r>
        <w:rPr>
          <w:lang w:val="en-GB"/>
        </w:rPr>
        <w:t xml:space="preserve">Metode penelitian yang digunakan adalah </w:t>
      </w:r>
      <w:r w:rsidRPr="00C8354B">
        <w:rPr>
          <w:i/>
          <w:lang w:val="en-GB"/>
        </w:rPr>
        <w:t>systematic review</w:t>
      </w:r>
      <w:r>
        <w:rPr>
          <w:lang w:val="en-GB"/>
        </w:rPr>
        <w:t xml:space="preserve">. </w:t>
      </w:r>
      <w:r w:rsidR="00AE7B8F">
        <w:rPr>
          <w:lang w:val="en-GB"/>
        </w:rPr>
        <w:t>Dan untuk analisis data</w:t>
      </w:r>
      <w:r w:rsidR="002556B9">
        <w:rPr>
          <w:lang w:val="en-GB"/>
        </w:rPr>
        <w:t>,</w:t>
      </w:r>
      <w:r w:rsidR="00AE7B8F">
        <w:rPr>
          <w:lang w:val="en-GB"/>
        </w:rPr>
        <w:t xml:space="preserve"> menggunakan </w:t>
      </w:r>
      <w:r w:rsidR="00AE7B8F" w:rsidRPr="00C8354B">
        <w:rPr>
          <w:i/>
          <w:lang w:val="en-GB"/>
        </w:rPr>
        <w:t>meta-analysis</w:t>
      </w:r>
      <w:r w:rsidR="00342559">
        <w:rPr>
          <w:lang w:val="en-GB"/>
        </w:rPr>
        <w:t xml:space="preserve"> </w:t>
      </w:r>
      <w:r w:rsidR="00342559">
        <w:rPr>
          <w:lang w:val="en-GB"/>
        </w:rPr>
        <w:fldChar w:fldCharType="begin" w:fldLock="1"/>
      </w:r>
      <w:r w:rsidR="00682911">
        <w:rPr>
          <w:lang w:val="en-GB"/>
        </w:rPr>
        <w:instrText>ADDIN CSL_CITATION {"citationItems":[{"id":"ITEM-1","itemData":{"ISBN":"978-1-55058-603-9","author":[{"dropping-particle":"","family":"Lau","given":"Francis","non-dropping-particle":"","parse-names":false,"suffix":""},{"dropping-particle":"","family":"Kuziemsky","given":"Craig","non-dropping-particle":"","parse-names":false,"suffix":""}],"container-title":"Handbook of eHealth Evaluation: An Evidence-based Approach [Internet].","editor":[{"dropping-particle":"","family":"Kuziemsky","given":"Francis Lau and Craig","non-dropping-particle":"","parse-names":false,"suffix":""}],"id":"ITEM-1","issued":{"date-parts":[["2016"]]},"publisher":"University of Victoria","publisher-place":"Canada","title":"Chapter 9 Methods for Literature Reviews","type":"chapter"},"uris":["http://www.mendeley.com/documents/?uuid=22345e5f-9fc4-4105-82f3-dfc4959dab16"]}],"mendeley":{"formattedCitation":"[9]","plainTextFormattedCitation":"[9]","previouslyFormattedCitation":"[9]"},"properties":{"noteIndex":0},"schema":"https://github.com/citation-style-language/schema/raw/master/csl-citation.json"}</w:instrText>
      </w:r>
      <w:r w:rsidR="00342559">
        <w:rPr>
          <w:lang w:val="en-GB"/>
        </w:rPr>
        <w:fldChar w:fldCharType="separate"/>
      </w:r>
      <w:r w:rsidR="00342559" w:rsidRPr="00342559">
        <w:rPr>
          <w:noProof/>
          <w:lang w:val="en-GB"/>
        </w:rPr>
        <w:t>[9]</w:t>
      </w:r>
      <w:r w:rsidR="00342559">
        <w:rPr>
          <w:lang w:val="en-GB"/>
        </w:rPr>
        <w:fldChar w:fldCharType="end"/>
      </w:r>
      <w:r w:rsidR="00AE7B8F">
        <w:rPr>
          <w:lang w:val="en-GB"/>
        </w:rPr>
        <w:t xml:space="preserve">. </w:t>
      </w:r>
      <w:r w:rsidR="002556B9">
        <w:rPr>
          <w:lang w:val="en-GB"/>
        </w:rPr>
        <w:t xml:space="preserve">Data sekunder </w:t>
      </w:r>
      <w:r w:rsidR="009A5EE7">
        <w:rPr>
          <w:lang w:val="en-GB"/>
        </w:rPr>
        <w:t xml:space="preserve">yang </w:t>
      </w:r>
      <w:r w:rsidR="002556B9">
        <w:rPr>
          <w:lang w:val="en-GB"/>
        </w:rPr>
        <w:t>digunakan dalam pene</w:t>
      </w:r>
      <w:r w:rsidR="009A5EE7">
        <w:rPr>
          <w:lang w:val="en-GB"/>
        </w:rPr>
        <w:t>litian ini</w:t>
      </w:r>
      <w:r w:rsidR="002556B9">
        <w:rPr>
          <w:lang w:val="en-GB"/>
        </w:rPr>
        <w:t xml:space="preserve"> merupakan artikel yang diperoleh melalui mesin pencaria</w:t>
      </w:r>
      <w:r w:rsidR="0008126C">
        <w:rPr>
          <w:lang w:val="en-GB"/>
        </w:rPr>
        <w:t>n di beberapa sumber</w:t>
      </w:r>
      <w:r w:rsidR="00571129">
        <w:rPr>
          <w:lang w:val="en-GB"/>
        </w:rPr>
        <w:t xml:space="preserve"> </w:t>
      </w:r>
      <w:r w:rsidR="00613F82">
        <w:rPr>
          <w:lang w:val="en-GB"/>
        </w:rPr>
        <w:t>publisher</w:t>
      </w:r>
      <w:r w:rsidR="0008126C">
        <w:rPr>
          <w:lang w:val="en-GB"/>
        </w:rPr>
        <w:t xml:space="preserve">, diantaranya </w:t>
      </w:r>
      <w:r w:rsidR="0008126C" w:rsidRPr="001152E2">
        <w:rPr>
          <w:lang w:val="en-GB"/>
        </w:rPr>
        <w:t xml:space="preserve">IEEEXplore, SpringerLink, Science Direct, </w:t>
      </w:r>
      <w:r w:rsidR="00751DED">
        <w:rPr>
          <w:lang w:val="en-GB"/>
        </w:rPr>
        <w:t xml:space="preserve">dan </w:t>
      </w:r>
      <w:r w:rsidR="005B25AC">
        <w:rPr>
          <w:lang w:val="en-GB"/>
        </w:rPr>
        <w:t>ERIC</w:t>
      </w:r>
      <w:r w:rsidR="009209E0">
        <w:rPr>
          <w:lang w:val="en-GB"/>
        </w:rPr>
        <w:t xml:space="preserve">, </w:t>
      </w:r>
      <w:r w:rsidR="00751DED">
        <w:rPr>
          <w:lang w:val="en-GB"/>
        </w:rPr>
        <w:t>serta</w:t>
      </w:r>
      <w:r w:rsidR="009209E0">
        <w:rPr>
          <w:lang w:val="en-GB"/>
        </w:rPr>
        <w:t xml:space="preserve"> bantuan</w:t>
      </w:r>
      <w:r w:rsidR="003D6FFC">
        <w:rPr>
          <w:lang w:val="en-GB"/>
        </w:rPr>
        <w:t xml:space="preserve"> tambahan, yaitu</w:t>
      </w:r>
      <w:r w:rsidR="009209E0">
        <w:rPr>
          <w:lang w:val="en-GB"/>
        </w:rPr>
        <w:t xml:space="preserve"> Google Scholar</w:t>
      </w:r>
      <w:r w:rsidR="0008126C">
        <w:rPr>
          <w:lang w:val="en-GB"/>
        </w:rPr>
        <w:t xml:space="preserve">. </w:t>
      </w:r>
      <w:r w:rsidR="005B25AC">
        <w:rPr>
          <w:lang w:val="en-GB"/>
        </w:rPr>
        <w:t>Dalam proses pencarian, penulis</w:t>
      </w:r>
      <w:r w:rsidR="00FB6565">
        <w:rPr>
          <w:lang w:val="en-GB"/>
        </w:rPr>
        <w:t xml:space="preserve"> menggunakan </w:t>
      </w:r>
      <w:r w:rsidR="006769C9">
        <w:rPr>
          <w:lang w:val="en-GB"/>
        </w:rPr>
        <w:t>lima</w:t>
      </w:r>
      <w:r w:rsidR="00FB6565">
        <w:rPr>
          <w:lang w:val="en-GB"/>
        </w:rPr>
        <w:t xml:space="preserve"> kata kunci, </w:t>
      </w:r>
      <w:r w:rsidR="005B25AC">
        <w:rPr>
          <w:lang w:val="en-GB"/>
        </w:rPr>
        <w:t>diantaranya</w:t>
      </w:r>
      <w:r w:rsidR="00FB6565">
        <w:rPr>
          <w:lang w:val="en-GB"/>
        </w:rPr>
        <w:t xml:space="preserve"> </w:t>
      </w:r>
      <w:r w:rsidR="00FB6565" w:rsidRPr="001152E2">
        <w:rPr>
          <w:lang w:val="en-GB"/>
        </w:rPr>
        <w:t>"</w:t>
      </w:r>
      <w:r w:rsidR="00FB6565" w:rsidRPr="001152E2">
        <w:rPr>
          <w:i/>
          <w:lang w:val="en-GB"/>
        </w:rPr>
        <w:t>prediction student</w:t>
      </w:r>
      <w:r w:rsidR="00FB6565" w:rsidRPr="001152E2">
        <w:rPr>
          <w:lang w:val="en-GB"/>
        </w:rPr>
        <w:t>", "</w:t>
      </w:r>
      <w:r w:rsidR="00FB6565" w:rsidRPr="001152E2">
        <w:rPr>
          <w:i/>
          <w:lang w:val="en-GB"/>
        </w:rPr>
        <w:t>student achievement</w:t>
      </w:r>
      <w:r w:rsidR="00FB6565" w:rsidRPr="001152E2">
        <w:rPr>
          <w:lang w:val="en-GB"/>
        </w:rPr>
        <w:t>", "</w:t>
      </w:r>
      <w:r w:rsidR="00FB6565" w:rsidRPr="001152E2">
        <w:rPr>
          <w:i/>
          <w:lang w:val="en-GB"/>
        </w:rPr>
        <w:t>student performance</w:t>
      </w:r>
      <w:r w:rsidR="00FB6565" w:rsidRPr="001152E2">
        <w:rPr>
          <w:lang w:val="en-GB"/>
        </w:rPr>
        <w:t>",  "</w:t>
      </w:r>
      <w:r w:rsidR="00FB6565" w:rsidRPr="001152E2">
        <w:rPr>
          <w:i/>
          <w:lang w:val="en-GB"/>
        </w:rPr>
        <w:t>machine learning in education engineering</w:t>
      </w:r>
      <w:r w:rsidR="00FB6565" w:rsidRPr="001152E2">
        <w:rPr>
          <w:lang w:val="en-GB"/>
        </w:rPr>
        <w:t>", dan "</w:t>
      </w:r>
      <w:r w:rsidR="00FB6565" w:rsidRPr="001152E2">
        <w:rPr>
          <w:i/>
          <w:lang w:val="en-GB"/>
        </w:rPr>
        <w:t>machine learning in student assessment</w:t>
      </w:r>
      <w:r w:rsidR="00FB6565" w:rsidRPr="001152E2">
        <w:rPr>
          <w:lang w:val="en-GB"/>
        </w:rPr>
        <w:t>"</w:t>
      </w:r>
      <w:r w:rsidR="00D27346">
        <w:rPr>
          <w:lang w:val="en-GB"/>
        </w:rPr>
        <w:t>.</w:t>
      </w:r>
      <w:r w:rsidR="007D5DCB">
        <w:rPr>
          <w:lang w:val="en-GB"/>
        </w:rPr>
        <w:t xml:space="preserve"> </w:t>
      </w:r>
      <w:commentRangeStart w:id="5"/>
      <w:r w:rsidR="00584E8A">
        <w:rPr>
          <w:lang w:val="en-GB"/>
        </w:rPr>
        <w:t>Adapun pembatasan yang diterapkan dalam pencarian artikel, yaitu melalu</w:t>
      </w:r>
      <w:r w:rsidR="00C94BF7">
        <w:rPr>
          <w:lang w:val="en-GB"/>
        </w:rPr>
        <w:t>i kriteria inklusi dan eksklusi, seperti pada Tabel 1 dan 2.</w:t>
      </w:r>
    </w:p>
    <w:commentRangeEnd w:id="5"/>
    <w:p w14:paraId="672572D3" w14:textId="77777777" w:rsidR="007B4145" w:rsidRPr="007B4145" w:rsidRDefault="00C94BF7" w:rsidP="007B4145">
      <w:pPr>
        <w:pStyle w:val="BodytextIndented"/>
        <w:rPr>
          <w:lang w:val="en-GB"/>
        </w:rPr>
      </w:pPr>
      <w:r>
        <w:rPr>
          <w:rStyle w:val="CommentReference"/>
          <w:iCs w:val="0"/>
          <w:color w:val="auto"/>
          <w:lang w:val="en-GB"/>
        </w:rPr>
        <w:commentReference w:id="5"/>
      </w:r>
    </w:p>
    <w:tbl>
      <w:tblPr>
        <w:tblW w:w="0" w:type="auto"/>
        <w:jc w:val="center"/>
        <w:tblCellMar>
          <w:left w:w="0" w:type="dxa"/>
          <w:right w:w="0" w:type="dxa"/>
        </w:tblCellMar>
        <w:tblLook w:val="01E0" w:firstRow="1" w:lastRow="1" w:firstColumn="1" w:lastColumn="1" w:noHBand="0" w:noVBand="0"/>
      </w:tblPr>
      <w:tblGrid>
        <w:gridCol w:w="426"/>
        <w:gridCol w:w="8079"/>
      </w:tblGrid>
      <w:tr w:rsidR="0061240D" w:rsidRPr="00CE57CF" w14:paraId="4850B7C6" w14:textId="77777777" w:rsidTr="007B4145">
        <w:trPr>
          <w:cantSplit/>
          <w:jc w:val="center"/>
        </w:trPr>
        <w:tc>
          <w:tcPr>
            <w:tcW w:w="8505" w:type="dxa"/>
            <w:gridSpan w:val="2"/>
            <w:tcBorders>
              <w:bottom w:val="single" w:sz="4" w:space="0" w:color="auto"/>
            </w:tcBorders>
            <w:shd w:val="clear" w:color="auto" w:fill="auto"/>
            <w:tcMar>
              <w:left w:w="0" w:type="dxa"/>
              <w:right w:w="0" w:type="dxa"/>
            </w:tcMar>
            <w:vAlign w:val="bottom"/>
          </w:tcPr>
          <w:p w14:paraId="22B30197" w14:textId="77777777" w:rsidR="0061240D" w:rsidRPr="00CE57CF" w:rsidRDefault="0061240D" w:rsidP="0061240D">
            <w:pPr>
              <w:pStyle w:val="TableCaptionCentred"/>
              <w:ind w:left="28"/>
              <w:rPr>
                <w:rFonts w:ascii="Times New Roman" w:hAnsi="Times New Roman"/>
              </w:rPr>
            </w:pPr>
            <w:r>
              <w:rPr>
                <w:rFonts w:ascii="Times New Roman" w:hAnsi="Times New Roman"/>
                <w:b/>
              </w:rPr>
              <w:t>Table 1</w:t>
            </w:r>
            <w:r w:rsidRPr="00CE57CF">
              <w:rPr>
                <w:rFonts w:ascii="Times New Roman" w:hAnsi="Times New Roman"/>
                <w:b/>
              </w:rPr>
              <w:t>.</w:t>
            </w:r>
            <w:r>
              <w:rPr>
                <w:rFonts w:ascii="Times New Roman" w:hAnsi="Times New Roman"/>
              </w:rPr>
              <w:t xml:space="preserve"> Inklusi secara Umum</w:t>
            </w:r>
          </w:p>
        </w:tc>
      </w:tr>
      <w:tr w:rsidR="008B12D8" w:rsidRPr="00CE57CF" w14:paraId="0AFD0BB4" w14:textId="77777777" w:rsidTr="007B4145">
        <w:trPr>
          <w:cantSplit/>
          <w:jc w:val="center"/>
        </w:trPr>
        <w:tc>
          <w:tcPr>
            <w:tcW w:w="426" w:type="dxa"/>
            <w:tcBorders>
              <w:top w:val="single" w:sz="6" w:space="0" w:color="auto"/>
              <w:bottom w:val="single" w:sz="4" w:space="0" w:color="auto"/>
            </w:tcBorders>
            <w:shd w:val="clear" w:color="auto" w:fill="auto"/>
            <w:tcMar>
              <w:left w:w="0" w:type="dxa"/>
              <w:right w:w="0" w:type="dxa"/>
            </w:tcMar>
          </w:tcPr>
          <w:p w14:paraId="5BA7106D" w14:textId="77777777" w:rsidR="008B12D8" w:rsidRPr="00F77539" w:rsidRDefault="008B12D8" w:rsidP="00C557EA">
            <w:pPr>
              <w:tabs>
                <w:tab w:val="left" w:pos="567"/>
              </w:tabs>
              <w:spacing w:before="40" w:after="40"/>
              <w:ind w:left="28"/>
              <w:rPr>
                <w:rFonts w:ascii="Times New Roman" w:hAnsi="Times New Roman"/>
                <w:b/>
                <w:color w:val="000000"/>
                <w:szCs w:val="22"/>
              </w:rPr>
            </w:pPr>
            <w:r w:rsidRPr="00F77539">
              <w:rPr>
                <w:rFonts w:ascii="Times New Roman" w:hAnsi="Times New Roman"/>
                <w:b/>
                <w:color w:val="000000"/>
                <w:szCs w:val="22"/>
              </w:rPr>
              <w:t>No</w:t>
            </w:r>
          </w:p>
        </w:tc>
        <w:tc>
          <w:tcPr>
            <w:tcW w:w="8079" w:type="dxa"/>
            <w:tcBorders>
              <w:top w:val="single" w:sz="6" w:space="0" w:color="auto"/>
              <w:bottom w:val="single" w:sz="4" w:space="0" w:color="auto"/>
            </w:tcBorders>
            <w:shd w:val="clear" w:color="auto" w:fill="auto"/>
            <w:tcMar>
              <w:left w:w="0" w:type="dxa"/>
              <w:right w:w="0" w:type="dxa"/>
            </w:tcMar>
          </w:tcPr>
          <w:p w14:paraId="332E1C36" w14:textId="77777777" w:rsidR="008B12D8" w:rsidRPr="00F77539" w:rsidRDefault="00F77539" w:rsidP="007B4145">
            <w:pPr>
              <w:tabs>
                <w:tab w:val="left" w:pos="567"/>
                <w:tab w:val="left" w:pos="2460"/>
                <w:tab w:val="center" w:pos="4110"/>
              </w:tabs>
              <w:spacing w:before="40" w:after="40"/>
              <w:ind w:left="28"/>
              <w:rPr>
                <w:rFonts w:ascii="Times New Roman" w:hAnsi="Times New Roman"/>
                <w:b/>
                <w:color w:val="000000"/>
                <w:szCs w:val="22"/>
              </w:rPr>
            </w:pPr>
            <w:r w:rsidRPr="00F77539">
              <w:rPr>
                <w:rFonts w:ascii="Times New Roman" w:hAnsi="Times New Roman"/>
                <w:b/>
                <w:color w:val="000000"/>
                <w:szCs w:val="22"/>
              </w:rPr>
              <w:tab/>
            </w:r>
            <w:r w:rsidRPr="00F77539">
              <w:rPr>
                <w:rFonts w:ascii="Times New Roman" w:hAnsi="Times New Roman"/>
                <w:b/>
                <w:color w:val="000000"/>
                <w:szCs w:val="22"/>
              </w:rPr>
              <w:tab/>
            </w:r>
            <w:r w:rsidRPr="00F77539">
              <w:rPr>
                <w:rFonts w:ascii="Times New Roman" w:hAnsi="Times New Roman"/>
                <w:b/>
                <w:color w:val="000000"/>
                <w:szCs w:val="22"/>
              </w:rPr>
              <w:tab/>
            </w:r>
            <w:r w:rsidR="008B12D8" w:rsidRPr="00F77539">
              <w:rPr>
                <w:rFonts w:ascii="Times New Roman" w:hAnsi="Times New Roman"/>
                <w:b/>
                <w:color w:val="000000"/>
                <w:szCs w:val="22"/>
              </w:rPr>
              <w:t>Umum</w:t>
            </w:r>
          </w:p>
        </w:tc>
      </w:tr>
      <w:tr w:rsidR="008B12D8" w:rsidRPr="00CE57CF" w14:paraId="01EAF6D5" w14:textId="77777777" w:rsidTr="007B4145">
        <w:trPr>
          <w:cantSplit/>
          <w:jc w:val="center"/>
        </w:trPr>
        <w:tc>
          <w:tcPr>
            <w:tcW w:w="426" w:type="dxa"/>
            <w:tcBorders>
              <w:top w:val="single" w:sz="4" w:space="0" w:color="auto"/>
            </w:tcBorders>
            <w:shd w:val="clear" w:color="auto" w:fill="auto"/>
            <w:tcMar>
              <w:left w:w="0" w:type="dxa"/>
              <w:right w:w="0" w:type="dxa"/>
            </w:tcMar>
          </w:tcPr>
          <w:p w14:paraId="28B6A1D4" w14:textId="77777777" w:rsidR="008B12D8" w:rsidRPr="00454325" w:rsidRDefault="008B12D8" w:rsidP="00F77539">
            <w:pPr>
              <w:pStyle w:val="BodytextIndented"/>
              <w:ind w:firstLine="0"/>
              <w:jc w:val="center"/>
              <w:rPr>
                <w:lang w:val="en-GB"/>
              </w:rPr>
            </w:pPr>
            <w:r w:rsidRPr="00454325">
              <w:rPr>
                <w:lang w:val="en-GB"/>
              </w:rPr>
              <w:t>1</w:t>
            </w:r>
          </w:p>
        </w:tc>
        <w:tc>
          <w:tcPr>
            <w:tcW w:w="8079" w:type="dxa"/>
            <w:tcBorders>
              <w:top w:val="single" w:sz="4" w:space="0" w:color="auto"/>
            </w:tcBorders>
            <w:shd w:val="clear" w:color="auto" w:fill="auto"/>
            <w:tcMar>
              <w:left w:w="0" w:type="dxa"/>
              <w:right w:w="0" w:type="dxa"/>
            </w:tcMar>
          </w:tcPr>
          <w:p w14:paraId="016B06A7" w14:textId="77777777" w:rsidR="008B12D8" w:rsidRPr="009010B1" w:rsidRDefault="008B12D8" w:rsidP="008B12D8">
            <w:pPr>
              <w:pStyle w:val="BodytextIndented"/>
              <w:ind w:firstLine="0"/>
              <w:rPr>
                <w:lang w:val="en-GB"/>
              </w:rPr>
            </w:pPr>
            <w:r>
              <w:rPr>
                <w:lang w:val="en-GB"/>
              </w:rPr>
              <w:t>Berbahasa Inggris</w:t>
            </w:r>
          </w:p>
        </w:tc>
      </w:tr>
      <w:tr w:rsidR="008B12D8" w:rsidRPr="00CE57CF" w14:paraId="7FC63935" w14:textId="77777777" w:rsidTr="007B4145">
        <w:trPr>
          <w:cantSplit/>
          <w:jc w:val="center"/>
        </w:trPr>
        <w:tc>
          <w:tcPr>
            <w:tcW w:w="426" w:type="dxa"/>
            <w:shd w:val="clear" w:color="auto" w:fill="auto"/>
            <w:tcMar>
              <w:left w:w="0" w:type="dxa"/>
              <w:right w:w="0" w:type="dxa"/>
            </w:tcMar>
          </w:tcPr>
          <w:p w14:paraId="2E0C0BC5" w14:textId="77777777" w:rsidR="008B12D8" w:rsidRPr="00454325" w:rsidRDefault="008B12D8" w:rsidP="00F77539">
            <w:pPr>
              <w:pStyle w:val="BodytextIndented"/>
              <w:ind w:firstLine="0"/>
              <w:jc w:val="center"/>
              <w:rPr>
                <w:lang w:val="en-GB"/>
              </w:rPr>
            </w:pPr>
            <w:r w:rsidRPr="00454325">
              <w:rPr>
                <w:lang w:val="en-GB"/>
              </w:rPr>
              <w:t>2</w:t>
            </w:r>
          </w:p>
        </w:tc>
        <w:tc>
          <w:tcPr>
            <w:tcW w:w="8079" w:type="dxa"/>
            <w:shd w:val="clear" w:color="auto" w:fill="auto"/>
            <w:tcMar>
              <w:left w:w="0" w:type="dxa"/>
              <w:right w:w="0" w:type="dxa"/>
            </w:tcMar>
          </w:tcPr>
          <w:p w14:paraId="1F2C40FF" w14:textId="77777777" w:rsidR="008B12D8" w:rsidRPr="009010B1" w:rsidRDefault="008B12D8" w:rsidP="008B12D8">
            <w:pPr>
              <w:pStyle w:val="BodytextIndented"/>
              <w:ind w:firstLine="0"/>
              <w:rPr>
                <w:lang w:val="en-GB"/>
              </w:rPr>
            </w:pPr>
            <w:r w:rsidRPr="009010B1">
              <w:rPr>
                <w:lang w:val="en-GB"/>
              </w:rPr>
              <w:t>Tidak Blank Paper</w:t>
            </w:r>
          </w:p>
        </w:tc>
      </w:tr>
      <w:tr w:rsidR="008B12D8" w:rsidRPr="00CE57CF" w14:paraId="106C470A" w14:textId="77777777" w:rsidTr="007B4145">
        <w:trPr>
          <w:cantSplit/>
          <w:jc w:val="center"/>
        </w:trPr>
        <w:tc>
          <w:tcPr>
            <w:tcW w:w="426" w:type="dxa"/>
            <w:shd w:val="clear" w:color="auto" w:fill="auto"/>
            <w:tcMar>
              <w:left w:w="0" w:type="dxa"/>
              <w:right w:w="0" w:type="dxa"/>
            </w:tcMar>
          </w:tcPr>
          <w:p w14:paraId="728DA225" w14:textId="77777777" w:rsidR="008B12D8" w:rsidRPr="00454325" w:rsidRDefault="008B12D8" w:rsidP="00F77539">
            <w:pPr>
              <w:pStyle w:val="BodytextIndented"/>
              <w:ind w:firstLine="0"/>
              <w:jc w:val="center"/>
              <w:rPr>
                <w:lang w:val="en-GB"/>
              </w:rPr>
            </w:pPr>
            <w:r w:rsidRPr="00454325">
              <w:rPr>
                <w:lang w:val="en-GB"/>
              </w:rPr>
              <w:t>3</w:t>
            </w:r>
          </w:p>
        </w:tc>
        <w:tc>
          <w:tcPr>
            <w:tcW w:w="8079" w:type="dxa"/>
            <w:shd w:val="clear" w:color="auto" w:fill="auto"/>
            <w:tcMar>
              <w:left w:w="0" w:type="dxa"/>
              <w:right w:w="0" w:type="dxa"/>
            </w:tcMar>
          </w:tcPr>
          <w:p w14:paraId="3E925FA6" w14:textId="77777777" w:rsidR="008B12D8" w:rsidRPr="009010B1" w:rsidRDefault="008B12D8" w:rsidP="008B12D8">
            <w:pPr>
              <w:pStyle w:val="BodytextIndented"/>
              <w:ind w:firstLine="0"/>
              <w:rPr>
                <w:lang w:val="en-GB"/>
              </w:rPr>
            </w:pPr>
            <w:r w:rsidRPr="009010B1">
              <w:rPr>
                <w:lang w:val="en-GB"/>
              </w:rPr>
              <w:t>Berkaitan dengan teknik dan menerapkan pembelajaran mesin</w:t>
            </w:r>
          </w:p>
        </w:tc>
      </w:tr>
      <w:tr w:rsidR="008B12D8" w:rsidRPr="00CE57CF" w14:paraId="0CE7B017" w14:textId="77777777" w:rsidTr="007B4145">
        <w:trPr>
          <w:cantSplit/>
          <w:jc w:val="center"/>
        </w:trPr>
        <w:tc>
          <w:tcPr>
            <w:tcW w:w="426" w:type="dxa"/>
            <w:shd w:val="clear" w:color="auto" w:fill="auto"/>
            <w:tcMar>
              <w:left w:w="0" w:type="dxa"/>
              <w:right w:w="0" w:type="dxa"/>
            </w:tcMar>
          </w:tcPr>
          <w:p w14:paraId="24EDF50B" w14:textId="77777777" w:rsidR="008B12D8" w:rsidRPr="00454325" w:rsidRDefault="008B12D8" w:rsidP="00F77539">
            <w:pPr>
              <w:pStyle w:val="BodytextIndented"/>
              <w:ind w:firstLine="0"/>
              <w:jc w:val="center"/>
              <w:rPr>
                <w:lang w:val="en-GB"/>
              </w:rPr>
            </w:pPr>
            <w:r w:rsidRPr="00454325">
              <w:rPr>
                <w:lang w:val="en-GB"/>
              </w:rPr>
              <w:t>4</w:t>
            </w:r>
          </w:p>
        </w:tc>
        <w:tc>
          <w:tcPr>
            <w:tcW w:w="8079" w:type="dxa"/>
            <w:shd w:val="clear" w:color="auto" w:fill="auto"/>
            <w:tcMar>
              <w:left w:w="0" w:type="dxa"/>
              <w:right w:w="0" w:type="dxa"/>
            </w:tcMar>
          </w:tcPr>
          <w:p w14:paraId="57DE797E" w14:textId="77777777" w:rsidR="008B12D8" w:rsidRPr="009010B1" w:rsidRDefault="008B12D8" w:rsidP="008B12D8">
            <w:pPr>
              <w:pStyle w:val="BodytextIndented"/>
              <w:ind w:firstLine="0"/>
              <w:rPr>
                <w:lang w:val="en-GB"/>
              </w:rPr>
            </w:pPr>
            <w:r w:rsidRPr="009010B1">
              <w:rPr>
                <w:lang w:val="en-GB"/>
              </w:rPr>
              <w:t>Responden dari pendidikan keteknikan</w:t>
            </w:r>
          </w:p>
        </w:tc>
      </w:tr>
      <w:tr w:rsidR="008B12D8" w:rsidRPr="00CE57CF" w14:paraId="6EFF253F" w14:textId="77777777" w:rsidTr="007B4145">
        <w:trPr>
          <w:cantSplit/>
          <w:jc w:val="center"/>
        </w:trPr>
        <w:tc>
          <w:tcPr>
            <w:tcW w:w="426" w:type="dxa"/>
            <w:shd w:val="clear" w:color="auto" w:fill="auto"/>
            <w:tcMar>
              <w:left w:w="0" w:type="dxa"/>
              <w:right w:w="0" w:type="dxa"/>
            </w:tcMar>
          </w:tcPr>
          <w:p w14:paraId="2F5B299D" w14:textId="77777777" w:rsidR="008B12D8" w:rsidRPr="00454325" w:rsidRDefault="008B12D8" w:rsidP="00F77539">
            <w:pPr>
              <w:pStyle w:val="BodytextIndented"/>
              <w:ind w:firstLine="0"/>
              <w:jc w:val="center"/>
              <w:rPr>
                <w:lang w:val="en-GB"/>
              </w:rPr>
            </w:pPr>
            <w:r w:rsidRPr="00454325">
              <w:rPr>
                <w:lang w:val="en-GB"/>
              </w:rPr>
              <w:t>5</w:t>
            </w:r>
          </w:p>
        </w:tc>
        <w:tc>
          <w:tcPr>
            <w:tcW w:w="8079" w:type="dxa"/>
            <w:shd w:val="clear" w:color="auto" w:fill="auto"/>
            <w:tcMar>
              <w:left w:w="0" w:type="dxa"/>
              <w:right w:w="0" w:type="dxa"/>
            </w:tcMar>
          </w:tcPr>
          <w:p w14:paraId="57583BE8" w14:textId="77777777" w:rsidR="008B12D8" w:rsidRPr="009010B1" w:rsidRDefault="008B12D8" w:rsidP="008B12D8">
            <w:pPr>
              <w:pStyle w:val="BodytextIndented"/>
              <w:ind w:firstLine="0"/>
              <w:rPr>
                <w:lang w:val="en-GB"/>
              </w:rPr>
            </w:pPr>
            <w:r w:rsidRPr="009010B1">
              <w:rPr>
                <w:lang w:val="en-GB"/>
              </w:rPr>
              <w:t>Beberapa artikel dalam bentuk manuscript accepted</w:t>
            </w:r>
          </w:p>
        </w:tc>
      </w:tr>
      <w:tr w:rsidR="008B12D8" w:rsidRPr="00CE57CF" w14:paraId="2DF2967F" w14:textId="77777777" w:rsidTr="007B4145">
        <w:trPr>
          <w:cantSplit/>
          <w:jc w:val="center"/>
        </w:trPr>
        <w:tc>
          <w:tcPr>
            <w:tcW w:w="426" w:type="dxa"/>
            <w:shd w:val="clear" w:color="auto" w:fill="auto"/>
            <w:tcMar>
              <w:left w:w="0" w:type="dxa"/>
              <w:right w:w="0" w:type="dxa"/>
            </w:tcMar>
          </w:tcPr>
          <w:p w14:paraId="4D44C64A" w14:textId="77777777" w:rsidR="008B12D8" w:rsidRPr="00454325" w:rsidRDefault="008B12D8" w:rsidP="00F77539">
            <w:pPr>
              <w:pStyle w:val="BodytextIndented"/>
              <w:ind w:firstLine="0"/>
              <w:jc w:val="center"/>
              <w:rPr>
                <w:lang w:val="en-GB"/>
              </w:rPr>
            </w:pPr>
            <w:r w:rsidRPr="00454325">
              <w:rPr>
                <w:lang w:val="en-GB"/>
              </w:rPr>
              <w:t>6</w:t>
            </w:r>
          </w:p>
        </w:tc>
        <w:tc>
          <w:tcPr>
            <w:tcW w:w="8079" w:type="dxa"/>
            <w:shd w:val="clear" w:color="auto" w:fill="auto"/>
            <w:tcMar>
              <w:left w:w="0" w:type="dxa"/>
              <w:right w:w="0" w:type="dxa"/>
            </w:tcMar>
          </w:tcPr>
          <w:p w14:paraId="6277EE01" w14:textId="77777777" w:rsidR="008B12D8" w:rsidRPr="009010B1" w:rsidRDefault="008B12D8" w:rsidP="008B12D8">
            <w:pPr>
              <w:pStyle w:val="BodytextIndented"/>
              <w:ind w:firstLine="0"/>
              <w:rPr>
                <w:lang w:val="en-GB"/>
              </w:rPr>
            </w:pPr>
            <w:r w:rsidRPr="009010B1">
              <w:rPr>
                <w:lang w:val="en-GB"/>
              </w:rPr>
              <w:t>Artikel menyebutkan program studi maupun fakultas teknik</w:t>
            </w:r>
          </w:p>
        </w:tc>
      </w:tr>
      <w:tr w:rsidR="008B12D8" w:rsidRPr="00CE57CF" w14:paraId="12993203" w14:textId="77777777" w:rsidTr="007B4145">
        <w:trPr>
          <w:cantSplit/>
          <w:jc w:val="center"/>
        </w:trPr>
        <w:tc>
          <w:tcPr>
            <w:tcW w:w="426" w:type="dxa"/>
            <w:shd w:val="clear" w:color="auto" w:fill="auto"/>
            <w:tcMar>
              <w:left w:w="0" w:type="dxa"/>
              <w:right w:w="0" w:type="dxa"/>
            </w:tcMar>
          </w:tcPr>
          <w:p w14:paraId="4E8462D3" w14:textId="77777777" w:rsidR="008B12D8" w:rsidRPr="00454325" w:rsidRDefault="008B12D8" w:rsidP="00F77539">
            <w:pPr>
              <w:pStyle w:val="BodytextIndented"/>
              <w:ind w:firstLine="0"/>
              <w:jc w:val="center"/>
              <w:rPr>
                <w:lang w:val="en-GB"/>
              </w:rPr>
            </w:pPr>
            <w:r w:rsidRPr="00454325">
              <w:rPr>
                <w:lang w:val="en-GB"/>
              </w:rPr>
              <w:t>7</w:t>
            </w:r>
          </w:p>
        </w:tc>
        <w:tc>
          <w:tcPr>
            <w:tcW w:w="8079" w:type="dxa"/>
            <w:shd w:val="clear" w:color="auto" w:fill="auto"/>
            <w:tcMar>
              <w:left w:w="0" w:type="dxa"/>
              <w:right w:w="0" w:type="dxa"/>
            </w:tcMar>
          </w:tcPr>
          <w:p w14:paraId="47D00694" w14:textId="77777777" w:rsidR="008B12D8" w:rsidRPr="009010B1" w:rsidRDefault="008B12D8" w:rsidP="008B12D8">
            <w:pPr>
              <w:pStyle w:val="BodytextIndented"/>
              <w:ind w:firstLine="0"/>
              <w:rPr>
                <w:lang w:val="en-GB"/>
              </w:rPr>
            </w:pPr>
            <w:r w:rsidRPr="009010B1">
              <w:rPr>
                <w:lang w:val="en-GB"/>
              </w:rPr>
              <w:t>Artikel menggunakan dataset dari pendidikan keteknikan</w:t>
            </w:r>
          </w:p>
        </w:tc>
      </w:tr>
      <w:tr w:rsidR="008B12D8" w:rsidRPr="00CE57CF" w14:paraId="397E55E5" w14:textId="77777777" w:rsidTr="007B4145">
        <w:trPr>
          <w:cantSplit/>
          <w:jc w:val="center"/>
        </w:trPr>
        <w:tc>
          <w:tcPr>
            <w:tcW w:w="426" w:type="dxa"/>
            <w:shd w:val="clear" w:color="auto" w:fill="auto"/>
            <w:tcMar>
              <w:left w:w="0" w:type="dxa"/>
              <w:right w:w="0" w:type="dxa"/>
            </w:tcMar>
          </w:tcPr>
          <w:p w14:paraId="1A205331" w14:textId="77777777" w:rsidR="008B12D8" w:rsidRPr="00454325" w:rsidRDefault="008B12D8" w:rsidP="00F77539">
            <w:pPr>
              <w:pStyle w:val="BodytextIndented"/>
              <w:ind w:firstLine="0"/>
              <w:jc w:val="center"/>
              <w:rPr>
                <w:lang w:val="en-GB"/>
              </w:rPr>
            </w:pPr>
            <w:r w:rsidRPr="00454325">
              <w:rPr>
                <w:lang w:val="en-GB"/>
              </w:rPr>
              <w:t>8</w:t>
            </w:r>
          </w:p>
        </w:tc>
        <w:tc>
          <w:tcPr>
            <w:tcW w:w="8079" w:type="dxa"/>
            <w:shd w:val="clear" w:color="auto" w:fill="auto"/>
            <w:tcMar>
              <w:left w:w="0" w:type="dxa"/>
              <w:right w:w="0" w:type="dxa"/>
            </w:tcMar>
          </w:tcPr>
          <w:p w14:paraId="652437D2" w14:textId="77777777" w:rsidR="008B12D8" w:rsidRPr="009010B1" w:rsidRDefault="008B12D8" w:rsidP="008B12D8">
            <w:pPr>
              <w:pStyle w:val="BodytextIndented"/>
              <w:ind w:firstLine="0"/>
              <w:rPr>
                <w:lang w:val="en-GB"/>
              </w:rPr>
            </w:pPr>
            <w:r w:rsidRPr="009010B1">
              <w:rPr>
                <w:lang w:val="en-GB"/>
              </w:rPr>
              <w:t>Menggunakan metode pembelajaran mesin</w:t>
            </w:r>
          </w:p>
        </w:tc>
      </w:tr>
      <w:tr w:rsidR="008B12D8" w:rsidRPr="00CE57CF" w14:paraId="41FA2CF8" w14:textId="77777777" w:rsidTr="007B4145">
        <w:trPr>
          <w:cantSplit/>
          <w:jc w:val="center"/>
        </w:trPr>
        <w:tc>
          <w:tcPr>
            <w:tcW w:w="426" w:type="dxa"/>
            <w:shd w:val="clear" w:color="auto" w:fill="auto"/>
            <w:tcMar>
              <w:left w:w="0" w:type="dxa"/>
              <w:right w:w="0" w:type="dxa"/>
            </w:tcMar>
          </w:tcPr>
          <w:p w14:paraId="3EB20D88" w14:textId="77777777" w:rsidR="008B12D8" w:rsidRPr="00454325" w:rsidRDefault="008B12D8" w:rsidP="00F77539">
            <w:pPr>
              <w:pStyle w:val="BodytextIndented"/>
              <w:ind w:firstLine="0"/>
              <w:jc w:val="center"/>
              <w:rPr>
                <w:lang w:val="en-GB"/>
              </w:rPr>
            </w:pPr>
            <w:r>
              <w:rPr>
                <w:lang w:val="en-GB"/>
              </w:rPr>
              <w:t>9</w:t>
            </w:r>
          </w:p>
        </w:tc>
        <w:tc>
          <w:tcPr>
            <w:tcW w:w="8079" w:type="dxa"/>
            <w:shd w:val="clear" w:color="auto" w:fill="auto"/>
            <w:tcMar>
              <w:left w:w="0" w:type="dxa"/>
              <w:right w:w="0" w:type="dxa"/>
            </w:tcMar>
          </w:tcPr>
          <w:p w14:paraId="4FBDDDFE" w14:textId="77777777" w:rsidR="008B12D8" w:rsidRPr="009010B1" w:rsidRDefault="008B12D8" w:rsidP="008B12D8">
            <w:pPr>
              <w:pStyle w:val="BodytextIndented"/>
              <w:ind w:firstLine="0"/>
              <w:rPr>
                <w:lang w:val="en-GB"/>
              </w:rPr>
            </w:pPr>
            <w:r>
              <w:rPr>
                <w:lang w:val="en-GB"/>
              </w:rPr>
              <w:t>Jurnal Terindeks SCOPUS</w:t>
            </w:r>
          </w:p>
        </w:tc>
      </w:tr>
      <w:tr w:rsidR="00F77539" w:rsidRPr="00CE57CF" w14:paraId="0674328B" w14:textId="77777777" w:rsidTr="007B4145">
        <w:trPr>
          <w:cantSplit/>
          <w:jc w:val="center"/>
        </w:trPr>
        <w:tc>
          <w:tcPr>
            <w:tcW w:w="426" w:type="dxa"/>
            <w:tcBorders>
              <w:bottom w:val="single" w:sz="4" w:space="0" w:color="auto"/>
            </w:tcBorders>
            <w:shd w:val="clear" w:color="auto" w:fill="auto"/>
            <w:tcMar>
              <w:left w:w="0" w:type="dxa"/>
              <w:right w:w="0" w:type="dxa"/>
            </w:tcMar>
          </w:tcPr>
          <w:p w14:paraId="359BFBD0" w14:textId="77777777" w:rsidR="00F77539" w:rsidRPr="00CE57CF" w:rsidRDefault="00F77539" w:rsidP="000E29C0">
            <w:pPr>
              <w:tabs>
                <w:tab w:val="left" w:pos="567"/>
              </w:tabs>
              <w:spacing w:before="40" w:after="40"/>
              <w:rPr>
                <w:rFonts w:ascii="Times New Roman" w:hAnsi="Times New Roman"/>
                <w:color w:val="000000"/>
                <w:szCs w:val="22"/>
              </w:rPr>
            </w:pPr>
          </w:p>
        </w:tc>
        <w:tc>
          <w:tcPr>
            <w:tcW w:w="8079" w:type="dxa"/>
            <w:tcBorders>
              <w:bottom w:val="single" w:sz="4" w:space="0" w:color="auto"/>
            </w:tcBorders>
            <w:shd w:val="clear" w:color="auto" w:fill="auto"/>
            <w:tcMar>
              <w:left w:w="0" w:type="dxa"/>
              <w:right w:w="0" w:type="dxa"/>
            </w:tcMar>
          </w:tcPr>
          <w:p w14:paraId="3C182C9C" w14:textId="77777777" w:rsidR="00F77539" w:rsidRPr="00CE57CF" w:rsidRDefault="00F77539" w:rsidP="008B12D8">
            <w:pPr>
              <w:tabs>
                <w:tab w:val="left" w:pos="567"/>
              </w:tabs>
              <w:spacing w:before="40" w:after="40"/>
              <w:rPr>
                <w:rFonts w:ascii="Times New Roman" w:hAnsi="Times New Roman"/>
                <w:color w:val="000000"/>
                <w:szCs w:val="22"/>
              </w:rPr>
            </w:pPr>
          </w:p>
        </w:tc>
      </w:tr>
    </w:tbl>
    <w:p w14:paraId="32C3B81E" w14:textId="77777777" w:rsidR="008B12D8" w:rsidRDefault="008B12D8" w:rsidP="003D2DCB">
      <w:pPr>
        <w:pStyle w:val="BodytextIndented"/>
        <w:jc w:val="center"/>
        <w:rPr>
          <w:lang w:val="en-GB"/>
        </w:rPr>
      </w:pPr>
    </w:p>
    <w:p w14:paraId="197B2487" w14:textId="77777777" w:rsidR="001857A7" w:rsidRPr="005A2EC0" w:rsidRDefault="005A2EC0" w:rsidP="007B4145">
      <w:pPr>
        <w:pStyle w:val="Bodytext"/>
        <w:tabs>
          <w:tab w:val="left" w:pos="2700"/>
        </w:tabs>
      </w:pPr>
      <w:r>
        <w:t xml:space="preserve">                                                </w:t>
      </w:r>
    </w:p>
    <w:tbl>
      <w:tblPr>
        <w:tblW w:w="0" w:type="auto"/>
        <w:jc w:val="center"/>
        <w:tblCellMar>
          <w:left w:w="0" w:type="dxa"/>
          <w:right w:w="0" w:type="dxa"/>
        </w:tblCellMar>
        <w:tblLook w:val="01E0" w:firstRow="1" w:lastRow="1" w:firstColumn="1" w:lastColumn="1" w:noHBand="0" w:noVBand="0"/>
      </w:tblPr>
      <w:tblGrid>
        <w:gridCol w:w="426"/>
        <w:gridCol w:w="8079"/>
      </w:tblGrid>
      <w:tr w:rsidR="00701781" w:rsidRPr="00CE57CF" w14:paraId="21B6EE18" w14:textId="77777777" w:rsidTr="007B4145">
        <w:trPr>
          <w:cantSplit/>
          <w:jc w:val="center"/>
        </w:trPr>
        <w:tc>
          <w:tcPr>
            <w:tcW w:w="8505" w:type="dxa"/>
            <w:gridSpan w:val="2"/>
            <w:tcBorders>
              <w:bottom w:val="single" w:sz="4" w:space="0" w:color="auto"/>
            </w:tcBorders>
            <w:shd w:val="clear" w:color="auto" w:fill="auto"/>
            <w:tcMar>
              <w:left w:w="0" w:type="dxa"/>
              <w:right w:w="0" w:type="dxa"/>
            </w:tcMar>
          </w:tcPr>
          <w:p w14:paraId="2435096A" w14:textId="77777777" w:rsidR="00701781" w:rsidRPr="00CE57CF" w:rsidRDefault="00D55C77" w:rsidP="00701781">
            <w:pPr>
              <w:tabs>
                <w:tab w:val="left" w:pos="567"/>
              </w:tabs>
              <w:spacing w:after="120"/>
              <w:ind w:left="28"/>
              <w:jc w:val="center"/>
              <w:rPr>
                <w:rFonts w:ascii="Times New Roman" w:hAnsi="Times New Roman"/>
                <w:color w:val="000000"/>
                <w:szCs w:val="22"/>
              </w:rPr>
            </w:pPr>
            <w:r>
              <w:rPr>
                <w:rFonts w:ascii="Times New Roman" w:hAnsi="Times New Roman"/>
                <w:b/>
                <w:color w:val="000000"/>
                <w:szCs w:val="22"/>
              </w:rPr>
              <w:t>Table 2</w:t>
            </w:r>
            <w:r w:rsidR="00701781" w:rsidRPr="00CE57CF">
              <w:rPr>
                <w:rFonts w:ascii="Times New Roman" w:hAnsi="Times New Roman"/>
                <w:b/>
                <w:color w:val="000000"/>
                <w:szCs w:val="22"/>
              </w:rPr>
              <w:t>.</w:t>
            </w:r>
            <w:r w:rsidR="00701781">
              <w:rPr>
                <w:rFonts w:ascii="Times New Roman" w:hAnsi="Times New Roman"/>
                <w:color w:val="000000"/>
                <w:szCs w:val="22"/>
              </w:rPr>
              <w:t xml:space="preserve"> Eksklusi</w:t>
            </w:r>
            <w:r w:rsidR="009C7F6D">
              <w:rPr>
                <w:rFonts w:ascii="Times New Roman" w:hAnsi="Times New Roman"/>
                <w:color w:val="000000"/>
                <w:szCs w:val="22"/>
              </w:rPr>
              <w:t xml:space="preserve"> secara Umum</w:t>
            </w:r>
          </w:p>
        </w:tc>
      </w:tr>
      <w:tr w:rsidR="00701781" w:rsidRPr="00CE57CF" w14:paraId="708C463A" w14:textId="77777777" w:rsidTr="007B4145">
        <w:trPr>
          <w:cantSplit/>
          <w:jc w:val="center"/>
        </w:trPr>
        <w:tc>
          <w:tcPr>
            <w:tcW w:w="426" w:type="dxa"/>
            <w:tcBorders>
              <w:top w:val="single" w:sz="6" w:space="0" w:color="auto"/>
              <w:bottom w:val="single" w:sz="4" w:space="0" w:color="auto"/>
            </w:tcBorders>
            <w:shd w:val="clear" w:color="auto" w:fill="auto"/>
            <w:tcMar>
              <w:left w:w="0" w:type="dxa"/>
              <w:right w:w="0" w:type="dxa"/>
            </w:tcMar>
          </w:tcPr>
          <w:p w14:paraId="01D8C63F" w14:textId="77777777" w:rsidR="00701781" w:rsidRPr="00F77539" w:rsidRDefault="00701781" w:rsidP="00A30CE0">
            <w:pPr>
              <w:tabs>
                <w:tab w:val="left" w:pos="567"/>
              </w:tabs>
              <w:spacing w:before="40" w:after="40"/>
              <w:ind w:left="28"/>
              <w:rPr>
                <w:rFonts w:ascii="Times New Roman" w:hAnsi="Times New Roman"/>
                <w:b/>
                <w:color w:val="000000"/>
                <w:szCs w:val="22"/>
              </w:rPr>
            </w:pPr>
            <w:r w:rsidRPr="00F77539">
              <w:rPr>
                <w:rFonts w:ascii="Times New Roman" w:hAnsi="Times New Roman"/>
                <w:b/>
                <w:color w:val="000000"/>
                <w:szCs w:val="22"/>
              </w:rPr>
              <w:t>No</w:t>
            </w:r>
          </w:p>
        </w:tc>
        <w:tc>
          <w:tcPr>
            <w:tcW w:w="8079" w:type="dxa"/>
            <w:tcBorders>
              <w:top w:val="single" w:sz="6" w:space="0" w:color="auto"/>
              <w:bottom w:val="single" w:sz="4" w:space="0" w:color="auto"/>
            </w:tcBorders>
            <w:shd w:val="clear" w:color="auto" w:fill="auto"/>
            <w:tcMar>
              <w:left w:w="0" w:type="dxa"/>
              <w:right w:w="0" w:type="dxa"/>
            </w:tcMar>
          </w:tcPr>
          <w:p w14:paraId="743A02D9" w14:textId="77777777" w:rsidR="00701781" w:rsidRPr="00F77539" w:rsidRDefault="00701781" w:rsidP="007B4145">
            <w:pPr>
              <w:tabs>
                <w:tab w:val="left" w:pos="567"/>
                <w:tab w:val="left" w:pos="2460"/>
                <w:tab w:val="center" w:pos="4110"/>
              </w:tabs>
              <w:spacing w:before="40" w:after="40"/>
              <w:ind w:left="28"/>
              <w:rPr>
                <w:rFonts w:ascii="Times New Roman" w:hAnsi="Times New Roman"/>
                <w:b/>
                <w:color w:val="000000"/>
                <w:szCs w:val="22"/>
              </w:rPr>
            </w:pPr>
            <w:r w:rsidRPr="00F77539">
              <w:rPr>
                <w:rFonts w:ascii="Times New Roman" w:hAnsi="Times New Roman"/>
                <w:b/>
                <w:color w:val="000000"/>
                <w:szCs w:val="22"/>
              </w:rPr>
              <w:tab/>
            </w:r>
            <w:r w:rsidRPr="00F77539">
              <w:rPr>
                <w:rFonts w:ascii="Times New Roman" w:hAnsi="Times New Roman"/>
                <w:b/>
                <w:color w:val="000000"/>
                <w:szCs w:val="22"/>
              </w:rPr>
              <w:tab/>
            </w:r>
            <w:r w:rsidRPr="00F77539">
              <w:rPr>
                <w:rFonts w:ascii="Times New Roman" w:hAnsi="Times New Roman"/>
                <w:b/>
                <w:color w:val="000000"/>
                <w:szCs w:val="22"/>
              </w:rPr>
              <w:tab/>
              <w:t>Umum</w:t>
            </w:r>
          </w:p>
        </w:tc>
      </w:tr>
      <w:tr w:rsidR="00701781" w:rsidRPr="00CE57CF" w14:paraId="75A66E8B" w14:textId="77777777" w:rsidTr="007B4145">
        <w:trPr>
          <w:cantSplit/>
          <w:jc w:val="center"/>
        </w:trPr>
        <w:tc>
          <w:tcPr>
            <w:tcW w:w="426" w:type="dxa"/>
            <w:tcBorders>
              <w:top w:val="single" w:sz="4" w:space="0" w:color="auto"/>
            </w:tcBorders>
            <w:shd w:val="clear" w:color="auto" w:fill="auto"/>
            <w:tcMar>
              <w:left w:w="0" w:type="dxa"/>
              <w:right w:w="0" w:type="dxa"/>
            </w:tcMar>
          </w:tcPr>
          <w:p w14:paraId="506F1887" w14:textId="77777777" w:rsidR="00701781" w:rsidRPr="00454325" w:rsidRDefault="00701781" w:rsidP="00701781">
            <w:pPr>
              <w:pStyle w:val="BodytextIndented"/>
              <w:ind w:firstLine="0"/>
              <w:jc w:val="center"/>
              <w:rPr>
                <w:lang w:val="en-GB"/>
              </w:rPr>
            </w:pPr>
            <w:r w:rsidRPr="00454325">
              <w:rPr>
                <w:lang w:val="en-GB"/>
              </w:rPr>
              <w:t>1</w:t>
            </w:r>
          </w:p>
        </w:tc>
        <w:tc>
          <w:tcPr>
            <w:tcW w:w="8079" w:type="dxa"/>
            <w:tcBorders>
              <w:top w:val="single" w:sz="4" w:space="0" w:color="auto"/>
            </w:tcBorders>
            <w:shd w:val="clear" w:color="auto" w:fill="auto"/>
            <w:tcMar>
              <w:left w:w="0" w:type="dxa"/>
              <w:right w:w="0" w:type="dxa"/>
            </w:tcMar>
          </w:tcPr>
          <w:p w14:paraId="510CDDD1" w14:textId="77777777" w:rsidR="00701781" w:rsidRPr="009010B1" w:rsidRDefault="00701781" w:rsidP="00701781">
            <w:pPr>
              <w:pStyle w:val="BodytextIndented"/>
              <w:ind w:firstLine="0"/>
              <w:rPr>
                <w:lang w:val="en-GB"/>
              </w:rPr>
            </w:pPr>
            <w:r>
              <w:rPr>
                <w:lang w:val="en-GB"/>
              </w:rPr>
              <w:t>Tidak Berbahasa Inggris</w:t>
            </w:r>
          </w:p>
        </w:tc>
      </w:tr>
      <w:tr w:rsidR="00701781" w:rsidRPr="00CE57CF" w14:paraId="09778279" w14:textId="77777777" w:rsidTr="007B4145">
        <w:trPr>
          <w:cantSplit/>
          <w:jc w:val="center"/>
        </w:trPr>
        <w:tc>
          <w:tcPr>
            <w:tcW w:w="426" w:type="dxa"/>
            <w:shd w:val="clear" w:color="auto" w:fill="auto"/>
            <w:tcMar>
              <w:left w:w="0" w:type="dxa"/>
              <w:right w:w="0" w:type="dxa"/>
            </w:tcMar>
          </w:tcPr>
          <w:p w14:paraId="0CEBBF9D" w14:textId="77777777" w:rsidR="00701781" w:rsidRPr="00454325" w:rsidRDefault="00701781" w:rsidP="00701781">
            <w:pPr>
              <w:pStyle w:val="BodytextIndented"/>
              <w:ind w:firstLine="0"/>
              <w:jc w:val="center"/>
              <w:rPr>
                <w:lang w:val="en-GB"/>
              </w:rPr>
            </w:pPr>
            <w:r w:rsidRPr="00454325">
              <w:rPr>
                <w:lang w:val="en-GB"/>
              </w:rPr>
              <w:t>2</w:t>
            </w:r>
          </w:p>
        </w:tc>
        <w:tc>
          <w:tcPr>
            <w:tcW w:w="8079" w:type="dxa"/>
            <w:shd w:val="clear" w:color="auto" w:fill="auto"/>
            <w:tcMar>
              <w:left w:w="0" w:type="dxa"/>
              <w:right w:w="0" w:type="dxa"/>
            </w:tcMar>
          </w:tcPr>
          <w:p w14:paraId="4B2299EA" w14:textId="77777777" w:rsidR="00701781" w:rsidRPr="009010B1" w:rsidRDefault="00701781" w:rsidP="00701781">
            <w:pPr>
              <w:pStyle w:val="BodytextIndented"/>
              <w:ind w:firstLine="0"/>
              <w:rPr>
                <w:lang w:val="en-GB"/>
              </w:rPr>
            </w:pPr>
            <w:r w:rsidRPr="009010B1">
              <w:rPr>
                <w:lang w:val="en-GB"/>
              </w:rPr>
              <w:t>Blank Paper</w:t>
            </w:r>
          </w:p>
        </w:tc>
      </w:tr>
      <w:tr w:rsidR="00701781" w:rsidRPr="00CE57CF" w14:paraId="60AE39EF" w14:textId="77777777" w:rsidTr="007B4145">
        <w:trPr>
          <w:cantSplit/>
          <w:jc w:val="center"/>
        </w:trPr>
        <w:tc>
          <w:tcPr>
            <w:tcW w:w="426" w:type="dxa"/>
            <w:shd w:val="clear" w:color="auto" w:fill="auto"/>
            <w:tcMar>
              <w:left w:w="0" w:type="dxa"/>
              <w:right w:w="0" w:type="dxa"/>
            </w:tcMar>
          </w:tcPr>
          <w:p w14:paraId="48D514FA" w14:textId="77777777" w:rsidR="00701781" w:rsidRPr="00454325" w:rsidRDefault="00701781" w:rsidP="00701781">
            <w:pPr>
              <w:pStyle w:val="BodytextIndented"/>
              <w:ind w:firstLine="0"/>
              <w:jc w:val="center"/>
              <w:rPr>
                <w:lang w:val="en-GB"/>
              </w:rPr>
            </w:pPr>
            <w:r w:rsidRPr="00454325">
              <w:rPr>
                <w:lang w:val="en-GB"/>
              </w:rPr>
              <w:t>3</w:t>
            </w:r>
          </w:p>
        </w:tc>
        <w:tc>
          <w:tcPr>
            <w:tcW w:w="8079" w:type="dxa"/>
            <w:shd w:val="clear" w:color="auto" w:fill="auto"/>
            <w:tcMar>
              <w:left w:w="0" w:type="dxa"/>
              <w:right w:w="0" w:type="dxa"/>
            </w:tcMar>
          </w:tcPr>
          <w:p w14:paraId="31929D6D" w14:textId="77777777" w:rsidR="00701781" w:rsidRPr="009010B1" w:rsidRDefault="00701781" w:rsidP="00701781">
            <w:pPr>
              <w:pStyle w:val="BodytextIndented"/>
              <w:ind w:firstLine="0"/>
              <w:rPr>
                <w:lang w:val="en-GB"/>
              </w:rPr>
            </w:pPr>
            <w:r>
              <w:rPr>
                <w:lang w:val="en-GB"/>
              </w:rPr>
              <w:t xml:space="preserve">Tidak berkaitan dengan teknik, namun </w:t>
            </w:r>
            <w:r w:rsidRPr="009010B1">
              <w:rPr>
                <w:lang w:val="en-GB"/>
              </w:rPr>
              <w:t>menerapkan pembelajaran mesin</w:t>
            </w:r>
          </w:p>
        </w:tc>
      </w:tr>
      <w:tr w:rsidR="00701781" w:rsidRPr="00CE57CF" w14:paraId="5BF219D7" w14:textId="77777777" w:rsidTr="007B4145">
        <w:trPr>
          <w:cantSplit/>
          <w:jc w:val="center"/>
        </w:trPr>
        <w:tc>
          <w:tcPr>
            <w:tcW w:w="426" w:type="dxa"/>
            <w:shd w:val="clear" w:color="auto" w:fill="auto"/>
            <w:tcMar>
              <w:left w:w="0" w:type="dxa"/>
              <w:right w:w="0" w:type="dxa"/>
            </w:tcMar>
          </w:tcPr>
          <w:p w14:paraId="16F16FC7" w14:textId="77777777" w:rsidR="00701781" w:rsidRPr="00454325" w:rsidRDefault="00701781" w:rsidP="00701781">
            <w:pPr>
              <w:pStyle w:val="BodytextIndented"/>
              <w:ind w:firstLine="0"/>
              <w:jc w:val="center"/>
              <w:rPr>
                <w:lang w:val="en-GB"/>
              </w:rPr>
            </w:pPr>
            <w:r w:rsidRPr="00454325">
              <w:rPr>
                <w:lang w:val="en-GB"/>
              </w:rPr>
              <w:t>4</w:t>
            </w:r>
          </w:p>
        </w:tc>
        <w:tc>
          <w:tcPr>
            <w:tcW w:w="8079" w:type="dxa"/>
            <w:shd w:val="clear" w:color="auto" w:fill="auto"/>
            <w:tcMar>
              <w:left w:w="0" w:type="dxa"/>
              <w:right w:w="0" w:type="dxa"/>
            </w:tcMar>
          </w:tcPr>
          <w:p w14:paraId="4759D2A0" w14:textId="77777777" w:rsidR="00701781" w:rsidRPr="009010B1" w:rsidRDefault="00701781" w:rsidP="00701781">
            <w:pPr>
              <w:pStyle w:val="BodytextIndented"/>
              <w:ind w:firstLine="0"/>
              <w:rPr>
                <w:lang w:val="en-GB"/>
              </w:rPr>
            </w:pPr>
            <w:r w:rsidRPr="009010B1">
              <w:rPr>
                <w:lang w:val="en-GB"/>
              </w:rPr>
              <w:t xml:space="preserve">Responden </w:t>
            </w:r>
            <w:r>
              <w:rPr>
                <w:lang w:val="en-GB"/>
              </w:rPr>
              <w:t xml:space="preserve">bukan </w:t>
            </w:r>
            <w:r w:rsidRPr="009010B1">
              <w:rPr>
                <w:lang w:val="en-GB"/>
              </w:rPr>
              <w:t>dari pendidikan keteknikan</w:t>
            </w:r>
          </w:p>
        </w:tc>
      </w:tr>
      <w:tr w:rsidR="00701781" w:rsidRPr="00CE57CF" w14:paraId="5A808E6C" w14:textId="77777777" w:rsidTr="007B4145">
        <w:trPr>
          <w:cantSplit/>
          <w:jc w:val="center"/>
        </w:trPr>
        <w:tc>
          <w:tcPr>
            <w:tcW w:w="426" w:type="dxa"/>
            <w:shd w:val="clear" w:color="auto" w:fill="auto"/>
            <w:tcMar>
              <w:left w:w="0" w:type="dxa"/>
              <w:right w:w="0" w:type="dxa"/>
            </w:tcMar>
          </w:tcPr>
          <w:p w14:paraId="71D64583" w14:textId="77777777" w:rsidR="00701781" w:rsidRPr="00454325" w:rsidRDefault="00701781" w:rsidP="00701781">
            <w:pPr>
              <w:pStyle w:val="BodytextIndented"/>
              <w:ind w:firstLine="0"/>
              <w:jc w:val="center"/>
              <w:rPr>
                <w:lang w:val="en-GB"/>
              </w:rPr>
            </w:pPr>
            <w:r w:rsidRPr="00454325">
              <w:rPr>
                <w:lang w:val="en-GB"/>
              </w:rPr>
              <w:t>5</w:t>
            </w:r>
          </w:p>
        </w:tc>
        <w:tc>
          <w:tcPr>
            <w:tcW w:w="8079" w:type="dxa"/>
            <w:shd w:val="clear" w:color="auto" w:fill="auto"/>
            <w:tcMar>
              <w:left w:w="0" w:type="dxa"/>
              <w:right w:w="0" w:type="dxa"/>
            </w:tcMar>
          </w:tcPr>
          <w:p w14:paraId="4435AED2" w14:textId="77777777" w:rsidR="00701781" w:rsidRPr="009010B1" w:rsidRDefault="00701781" w:rsidP="00701781">
            <w:pPr>
              <w:pStyle w:val="BodytextIndented"/>
              <w:ind w:firstLine="0"/>
              <w:rPr>
                <w:lang w:val="en-GB"/>
              </w:rPr>
            </w:pPr>
            <w:r w:rsidRPr="009010B1">
              <w:rPr>
                <w:lang w:val="en-GB"/>
              </w:rPr>
              <w:t xml:space="preserve">Beberapa artikel dalam bentuk manuscript </w:t>
            </w:r>
            <w:r>
              <w:rPr>
                <w:lang w:val="en-GB"/>
              </w:rPr>
              <w:t>peer review</w:t>
            </w:r>
          </w:p>
        </w:tc>
      </w:tr>
      <w:tr w:rsidR="00701781" w:rsidRPr="00CE57CF" w14:paraId="5946FD47" w14:textId="77777777" w:rsidTr="007B4145">
        <w:trPr>
          <w:cantSplit/>
          <w:jc w:val="center"/>
        </w:trPr>
        <w:tc>
          <w:tcPr>
            <w:tcW w:w="426" w:type="dxa"/>
            <w:shd w:val="clear" w:color="auto" w:fill="auto"/>
            <w:tcMar>
              <w:left w:w="0" w:type="dxa"/>
              <w:right w:w="0" w:type="dxa"/>
            </w:tcMar>
          </w:tcPr>
          <w:p w14:paraId="10E4A0CD" w14:textId="77777777" w:rsidR="00701781" w:rsidRPr="00454325" w:rsidRDefault="00701781" w:rsidP="00701781">
            <w:pPr>
              <w:pStyle w:val="BodytextIndented"/>
              <w:ind w:firstLine="0"/>
              <w:jc w:val="center"/>
              <w:rPr>
                <w:lang w:val="en-GB"/>
              </w:rPr>
            </w:pPr>
            <w:r w:rsidRPr="00454325">
              <w:rPr>
                <w:lang w:val="en-GB"/>
              </w:rPr>
              <w:t>6</w:t>
            </w:r>
          </w:p>
        </w:tc>
        <w:tc>
          <w:tcPr>
            <w:tcW w:w="8079" w:type="dxa"/>
            <w:shd w:val="clear" w:color="auto" w:fill="auto"/>
            <w:tcMar>
              <w:left w:w="0" w:type="dxa"/>
              <w:right w:w="0" w:type="dxa"/>
            </w:tcMar>
          </w:tcPr>
          <w:p w14:paraId="2DF98A9A" w14:textId="77777777" w:rsidR="00701781" w:rsidRPr="009010B1" w:rsidRDefault="00701781" w:rsidP="00701781">
            <w:pPr>
              <w:pStyle w:val="BodytextIndented"/>
              <w:ind w:firstLine="0"/>
              <w:rPr>
                <w:lang w:val="en-GB"/>
              </w:rPr>
            </w:pPr>
            <w:r w:rsidRPr="009010B1">
              <w:rPr>
                <w:lang w:val="en-GB"/>
              </w:rPr>
              <w:t xml:space="preserve">Artikel </w:t>
            </w:r>
            <w:r>
              <w:rPr>
                <w:lang w:val="en-GB"/>
              </w:rPr>
              <w:t xml:space="preserve">tidak </w:t>
            </w:r>
            <w:r w:rsidRPr="009010B1">
              <w:rPr>
                <w:lang w:val="en-GB"/>
              </w:rPr>
              <w:t>menyebutkan program studi maupun fakultas teknik</w:t>
            </w:r>
          </w:p>
        </w:tc>
      </w:tr>
      <w:tr w:rsidR="00701781" w:rsidRPr="00CE57CF" w14:paraId="58EF3071" w14:textId="77777777" w:rsidTr="007B4145">
        <w:trPr>
          <w:cantSplit/>
          <w:jc w:val="center"/>
        </w:trPr>
        <w:tc>
          <w:tcPr>
            <w:tcW w:w="426" w:type="dxa"/>
            <w:shd w:val="clear" w:color="auto" w:fill="auto"/>
            <w:tcMar>
              <w:left w:w="0" w:type="dxa"/>
              <w:right w:w="0" w:type="dxa"/>
            </w:tcMar>
          </w:tcPr>
          <w:p w14:paraId="136F63A3" w14:textId="77777777" w:rsidR="00701781" w:rsidRPr="00454325" w:rsidRDefault="00701781" w:rsidP="00701781">
            <w:pPr>
              <w:pStyle w:val="BodytextIndented"/>
              <w:ind w:firstLine="0"/>
              <w:jc w:val="center"/>
              <w:rPr>
                <w:lang w:val="en-GB"/>
              </w:rPr>
            </w:pPr>
            <w:r w:rsidRPr="00454325">
              <w:rPr>
                <w:lang w:val="en-GB"/>
              </w:rPr>
              <w:t>7</w:t>
            </w:r>
          </w:p>
        </w:tc>
        <w:tc>
          <w:tcPr>
            <w:tcW w:w="8079" w:type="dxa"/>
            <w:shd w:val="clear" w:color="auto" w:fill="auto"/>
            <w:tcMar>
              <w:left w:w="0" w:type="dxa"/>
              <w:right w:w="0" w:type="dxa"/>
            </w:tcMar>
          </w:tcPr>
          <w:p w14:paraId="334E2BB3" w14:textId="77777777" w:rsidR="00701781" w:rsidRPr="009010B1" w:rsidRDefault="00701781" w:rsidP="00701781">
            <w:pPr>
              <w:pStyle w:val="BodytextIndented"/>
              <w:ind w:firstLine="0"/>
              <w:rPr>
                <w:lang w:val="en-GB"/>
              </w:rPr>
            </w:pPr>
            <w:r w:rsidRPr="009010B1">
              <w:rPr>
                <w:lang w:val="en-GB"/>
              </w:rPr>
              <w:t xml:space="preserve">Artikel </w:t>
            </w:r>
            <w:r>
              <w:rPr>
                <w:lang w:val="en-GB"/>
              </w:rPr>
              <w:t xml:space="preserve">tidak </w:t>
            </w:r>
            <w:r w:rsidRPr="009010B1">
              <w:rPr>
                <w:lang w:val="en-GB"/>
              </w:rPr>
              <w:t>menggunakan dataset dari pendidikan keteknikan</w:t>
            </w:r>
          </w:p>
        </w:tc>
      </w:tr>
      <w:tr w:rsidR="00701781" w:rsidRPr="00CE57CF" w14:paraId="3EFE7CCD" w14:textId="77777777" w:rsidTr="007B4145">
        <w:trPr>
          <w:cantSplit/>
          <w:trHeight w:val="80"/>
          <w:jc w:val="center"/>
        </w:trPr>
        <w:tc>
          <w:tcPr>
            <w:tcW w:w="426" w:type="dxa"/>
            <w:shd w:val="clear" w:color="auto" w:fill="auto"/>
            <w:tcMar>
              <w:left w:w="0" w:type="dxa"/>
              <w:right w:w="0" w:type="dxa"/>
            </w:tcMar>
          </w:tcPr>
          <w:p w14:paraId="6B2244A7" w14:textId="77777777" w:rsidR="00701781" w:rsidRPr="00454325" w:rsidRDefault="00701781" w:rsidP="00701781">
            <w:pPr>
              <w:pStyle w:val="BodytextIndented"/>
              <w:ind w:firstLine="0"/>
              <w:jc w:val="center"/>
              <w:rPr>
                <w:lang w:val="en-GB"/>
              </w:rPr>
            </w:pPr>
            <w:r w:rsidRPr="00454325">
              <w:rPr>
                <w:lang w:val="en-GB"/>
              </w:rPr>
              <w:t>8</w:t>
            </w:r>
          </w:p>
        </w:tc>
        <w:tc>
          <w:tcPr>
            <w:tcW w:w="8079" w:type="dxa"/>
            <w:shd w:val="clear" w:color="auto" w:fill="auto"/>
            <w:tcMar>
              <w:left w:w="0" w:type="dxa"/>
              <w:right w:w="0" w:type="dxa"/>
            </w:tcMar>
          </w:tcPr>
          <w:p w14:paraId="1CB0A033" w14:textId="77777777" w:rsidR="00701781" w:rsidRPr="009010B1" w:rsidRDefault="00701781" w:rsidP="00701781">
            <w:pPr>
              <w:pStyle w:val="BodytextIndented"/>
              <w:ind w:firstLine="0"/>
              <w:rPr>
                <w:lang w:val="en-GB"/>
              </w:rPr>
            </w:pPr>
            <w:r>
              <w:rPr>
                <w:lang w:val="en-GB"/>
              </w:rPr>
              <w:t>Menggunakan</w:t>
            </w:r>
            <w:r w:rsidRPr="009010B1">
              <w:rPr>
                <w:lang w:val="en-GB"/>
              </w:rPr>
              <w:t xml:space="preserve"> metode </w:t>
            </w:r>
            <w:r>
              <w:rPr>
                <w:lang w:val="en-GB"/>
              </w:rPr>
              <w:t>algoritma kecerdasan biasa</w:t>
            </w:r>
          </w:p>
        </w:tc>
      </w:tr>
      <w:tr w:rsidR="00701781" w:rsidRPr="00CE57CF" w14:paraId="26CD6899" w14:textId="77777777" w:rsidTr="007B4145">
        <w:trPr>
          <w:cantSplit/>
          <w:jc w:val="center"/>
        </w:trPr>
        <w:tc>
          <w:tcPr>
            <w:tcW w:w="426" w:type="dxa"/>
            <w:shd w:val="clear" w:color="auto" w:fill="auto"/>
            <w:tcMar>
              <w:left w:w="0" w:type="dxa"/>
              <w:right w:w="0" w:type="dxa"/>
            </w:tcMar>
          </w:tcPr>
          <w:p w14:paraId="440687C2" w14:textId="77777777" w:rsidR="00701781" w:rsidRPr="00454325" w:rsidRDefault="00701781" w:rsidP="00701781">
            <w:pPr>
              <w:pStyle w:val="BodytextIndented"/>
              <w:ind w:firstLine="0"/>
              <w:jc w:val="center"/>
              <w:rPr>
                <w:lang w:val="en-GB"/>
              </w:rPr>
            </w:pPr>
            <w:r>
              <w:rPr>
                <w:lang w:val="en-GB"/>
              </w:rPr>
              <w:t>9</w:t>
            </w:r>
          </w:p>
        </w:tc>
        <w:tc>
          <w:tcPr>
            <w:tcW w:w="8079" w:type="dxa"/>
            <w:shd w:val="clear" w:color="auto" w:fill="auto"/>
            <w:tcMar>
              <w:left w:w="0" w:type="dxa"/>
              <w:right w:w="0" w:type="dxa"/>
            </w:tcMar>
          </w:tcPr>
          <w:p w14:paraId="4992FBA9" w14:textId="77777777" w:rsidR="00701781" w:rsidRDefault="00701781" w:rsidP="00701781">
            <w:pPr>
              <w:pStyle w:val="BodytextIndented"/>
              <w:ind w:firstLine="0"/>
              <w:rPr>
                <w:lang w:val="en-GB"/>
              </w:rPr>
            </w:pPr>
            <w:r>
              <w:rPr>
                <w:lang w:val="en-GB"/>
              </w:rPr>
              <w:t>Jurnal tidak terindeks SCOPUS</w:t>
            </w:r>
          </w:p>
        </w:tc>
      </w:tr>
      <w:tr w:rsidR="00701781" w:rsidRPr="00CE57CF" w14:paraId="7DE29A3A" w14:textId="77777777" w:rsidTr="007B4145">
        <w:trPr>
          <w:cantSplit/>
          <w:jc w:val="center"/>
        </w:trPr>
        <w:tc>
          <w:tcPr>
            <w:tcW w:w="426" w:type="dxa"/>
            <w:tcBorders>
              <w:bottom w:val="single" w:sz="4" w:space="0" w:color="auto"/>
            </w:tcBorders>
            <w:shd w:val="clear" w:color="auto" w:fill="auto"/>
            <w:tcMar>
              <w:left w:w="0" w:type="dxa"/>
              <w:right w:w="0" w:type="dxa"/>
            </w:tcMar>
          </w:tcPr>
          <w:p w14:paraId="31328622" w14:textId="77777777" w:rsidR="00701781" w:rsidRPr="00CE57CF" w:rsidRDefault="00701781" w:rsidP="00A30CE0">
            <w:pPr>
              <w:tabs>
                <w:tab w:val="left" w:pos="567"/>
              </w:tabs>
              <w:spacing w:before="40" w:after="40"/>
              <w:ind w:left="28"/>
              <w:jc w:val="center"/>
              <w:rPr>
                <w:rFonts w:ascii="Times New Roman" w:hAnsi="Times New Roman"/>
                <w:color w:val="000000"/>
                <w:szCs w:val="22"/>
              </w:rPr>
            </w:pPr>
          </w:p>
        </w:tc>
        <w:tc>
          <w:tcPr>
            <w:tcW w:w="8079" w:type="dxa"/>
            <w:tcBorders>
              <w:bottom w:val="single" w:sz="4" w:space="0" w:color="auto"/>
            </w:tcBorders>
            <w:shd w:val="clear" w:color="auto" w:fill="auto"/>
            <w:tcMar>
              <w:left w:w="0" w:type="dxa"/>
              <w:right w:w="0" w:type="dxa"/>
            </w:tcMar>
          </w:tcPr>
          <w:p w14:paraId="7A5083F0" w14:textId="77777777" w:rsidR="00701781" w:rsidRPr="00CE57CF" w:rsidRDefault="00701781" w:rsidP="00A30CE0">
            <w:pPr>
              <w:tabs>
                <w:tab w:val="left" w:pos="567"/>
              </w:tabs>
              <w:spacing w:before="40" w:after="40"/>
              <w:rPr>
                <w:rFonts w:ascii="Times New Roman" w:hAnsi="Times New Roman"/>
                <w:color w:val="000000"/>
                <w:szCs w:val="22"/>
              </w:rPr>
            </w:pPr>
          </w:p>
        </w:tc>
      </w:tr>
    </w:tbl>
    <w:p w14:paraId="79438FA3" w14:textId="77777777" w:rsidR="00701781" w:rsidRDefault="00701781" w:rsidP="00213432">
      <w:pPr>
        <w:pStyle w:val="BodytextIndented"/>
        <w:rPr>
          <w:lang w:val="en-GB"/>
        </w:rPr>
      </w:pPr>
    </w:p>
    <w:tbl>
      <w:tblPr>
        <w:tblW w:w="0" w:type="auto"/>
        <w:jc w:val="center"/>
        <w:tblCellMar>
          <w:left w:w="0" w:type="dxa"/>
          <w:right w:w="0" w:type="dxa"/>
        </w:tblCellMar>
        <w:tblLook w:val="01E0" w:firstRow="1" w:lastRow="1" w:firstColumn="1" w:lastColumn="1" w:noHBand="0" w:noVBand="0"/>
      </w:tblPr>
      <w:tblGrid>
        <w:gridCol w:w="393"/>
        <w:gridCol w:w="1592"/>
        <w:gridCol w:w="6662"/>
      </w:tblGrid>
      <w:tr w:rsidR="009C7F6D" w:rsidRPr="00CE57CF" w14:paraId="50A03E59" w14:textId="77777777" w:rsidTr="007B4145">
        <w:trPr>
          <w:cantSplit/>
          <w:jc w:val="center"/>
        </w:trPr>
        <w:tc>
          <w:tcPr>
            <w:tcW w:w="8647" w:type="dxa"/>
            <w:gridSpan w:val="3"/>
            <w:tcBorders>
              <w:bottom w:val="single" w:sz="4" w:space="0" w:color="auto"/>
            </w:tcBorders>
          </w:tcPr>
          <w:tbl>
            <w:tblPr>
              <w:tblW w:w="0" w:type="auto"/>
              <w:jc w:val="center"/>
              <w:tblCellMar>
                <w:left w:w="0" w:type="dxa"/>
                <w:right w:w="0" w:type="dxa"/>
              </w:tblCellMar>
              <w:tblLook w:val="01E0" w:firstRow="1" w:lastRow="1" w:firstColumn="1" w:lastColumn="1" w:noHBand="0" w:noVBand="0"/>
            </w:tblPr>
            <w:tblGrid>
              <w:gridCol w:w="393"/>
              <w:gridCol w:w="1592"/>
              <w:gridCol w:w="6662"/>
            </w:tblGrid>
            <w:tr w:rsidR="007B4145" w:rsidRPr="00CE57CF" w14:paraId="4EA6ED6D" w14:textId="77777777" w:rsidTr="007B4145">
              <w:trPr>
                <w:cantSplit/>
                <w:jc w:val="center"/>
              </w:trPr>
              <w:tc>
                <w:tcPr>
                  <w:tcW w:w="8647" w:type="dxa"/>
                  <w:gridSpan w:val="3"/>
                  <w:tcBorders>
                    <w:bottom w:val="single" w:sz="4" w:space="0" w:color="auto"/>
                  </w:tcBorders>
                </w:tcPr>
                <w:p w14:paraId="2FEA6810" w14:textId="77777777" w:rsidR="007B4145" w:rsidRPr="00CE57CF" w:rsidRDefault="007B4145" w:rsidP="00D55C77">
                  <w:pPr>
                    <w:pStyle w:val="TableCaptionCentred"/>
                    <w:ind w:left="28"/>
                    <w:rPr>
                      <w:rFonts w:ascii="Times New Roman" w:hAnsi="Times New Roman"/>
                    </w:rPr>
                  </w:pPr>
                  <w:r>
                    <w:rPr>
                      <w:rFonts w:ascii="Times New Roman" w:hAnsi="Times New Roman"/>
                      <w:b/>
                    </w:rPr>
                    <w:lastRenderedPageBreak/>
                    <w:t xml:space="preserve">Table </w:t>
                  </w:r>
                  <w:r w:rsidR="00D55C77">
                    <w:rPr>
                      <w:rFonts w:ascii="Times New Roman" w:hAnsi="Times New Roman"/>
                      <w:b/>
                    </w:rPr>
                    <w:t>3</w:t>
                  </w:r>
                  <w:r w:rsidRPr="00CE57CF">
                    <w:rPr>
                      <w:rFonts w:ascii="Times New Roman" w:hAnsi="Times New Roman"/>
                      <w:b/>
                    </w:rPr>
                    <w:t>.</w:t>
                  </w:r>
                  <w:r>
                    <w:rPr>
                      <w:rFonts w:ascii="Times New Roman" w:hAnsi="Times New Roman"/>
                    </w:rPr>
                    <w:t xml:space="preserve"> Inklusi secara Spesifik</w:t>
                  </w:r>
                </w:p>
              </w:tc>
            </w:tr>
            <w:tr w:rsidR="007B4145" w:rsidRPr="00CE57CF" w14:paraId="6B422BC2" w14:textId="77777777" w:rsidTr="007B4145">
              <w:trPr>
                <w:cantSplit/>
                <w:jc w:val="center"/>
              </w:trPr>
              <w:tc>
                <w:tcPr>
                  <w:tcW w:w="393" w:type="dxa"/>
                  <w:tcBorders>
                    <w:top w:val="single" w:sz="6" w:space="0" w:color="auto"/>
                    <w:bottom w:val="single" w:sz="4" w:space="0" w:color="auto"/>
                  </w:tcBorders>
                  <w:shd w:val="clear" w:color="auto" w:fill="auto"/>
                  <w:tcMar>
                    <w:left w:w="0" w:type="dxa"/>
                    <w:right w:w="0" w:type="dxa"/>
                  </w:tcMar>
                </w:tcPr>
                <w:p w14:paraId="74EF509A" w14:textId="77777777" w:rsidR="007B4145" w:rsidRPr="00F77539" w:rsidRDefault="007B4145" w:rsidP="007B4145">
                  <w:pPr>
                    <w:tabs>
                      <w:tab w:val="left" w:pos="567"/>
                    </w:tabs>
                    <w:spacing w:before="40" w:after="40"/>
                    <w:ind w:left="28"/>
                    <w:rPr>
                      <w:rFonts w:ascii="Times New Roman" w:hAnsi="Times New Roman"/>
                      <w:b/>
                      <w:color w:val="000000"/>
                      <w:szCs w:val="22"/>
                    </w:rPr>
                  </w:pPr>
                  <w:r w:rsidRPr="00F77539">
                    <w:rPr>
                      <w:rFonts w:ascii="Times New Roman" w:hAnsi="Times New Roman"/>
                      <w:b/>
                      <w:color w:val="000000"/>
                      <w:szCs w:val="22"/>
                    </w:rPr>
                    <w:t>No</w:t>
                  </w:r>
                </w:p>
              </w:tc>
              <w:tc>
                <w:tcPr>
                  <w:tcW w:w="1592" w:type="dxa"/>
                  <w:tcBorders>
                    <w:top w:val="single" w:sz="6" w:space="0" w:color="auto"/>
                    <w:bottom w:val="single" w:sz="4" w:space="0" w:color="auto"/>
                  </w:tcBorders>
                </w:tcPr>
                <w:p w14:paraId="1BF41444" w14:textId="77777777" w:rsidR="007B4145" w:rsidRPr="00F77539" w:rsidRDefault="007B4145" w:rsidP="007B4145">
                  <w:pPr>
                    <w:tabs>
                      <w:tab w:val="left" w:pos="567"/>
                      <w:tab w:val="left" w:pos="2460"/>
                      <w:tab w:val="center" w:pos="2778"/>
                    </w:tabs>
                    <w:spacing w:before="40" w:after="40"/>
                    <w:ind w:left="28"/>
                    <w:rPr>
                      <w:rFonts w:ascii="Times New Roman" w:hAnsi="Times New Roman"/>
                      <w:b/>
                      <w:color w:val="000000"/>
                      <w:szCs w:val="22"/>
                    </w:rPr>
                  </w:pPr>
                  <w:r>
                    <w:rPr>
                      <w:rFonts w:ascii="Times New Roman" w:hAnsi="Times New Roman"/>
                      <w:b/>
                      <w:color w:val="000000"/>
                      <w:szCs w:val="22"/>
                    </w:rPr>
                    <w:t>Publishers</w:t>
                  </w:r>
                </w:p>
              </w:tc>
              <w:tc>
                <w:tcPr>
                  <w:tcW w:w="6662" w:type="dxa"/>
                  <w:tcBorders>
                    <w:top w:val="single" w:sz="6" w:space="0" w:color="auto"/>
                    <w:bottom w:val="single" w:sz="4" w:space="0" w:color="auto"/>
                  </w:tcBorders>
                  <w:shd w:val="clear" w:color="auto" w:fill="auto"/>
                  <w:tcMar>
                    <w:left w:w="0" w:type="dxa"/>
                    <w:right w:w="0" w:type="dxa"/>
                  </w:tcMar>
                </w:tcPr>
                <w:p w14:paraId="7DBA32F7" w14:textId="77777777" w:rsidR="007B4145" w:rsidRPr="00F77539" w:rsidRDefault="007B4145" w:rsidP="007B4145">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Spesifik</w:t>
                  </w:r>
                </w:p>
              </w:tc>
            </w:tr>
            <w:tr w:rsidR="007B4145" w:rsidRPr="00CE57CF" w14:paraId="07C669ED" w14:textId="77777777" w:rsidTr="007B4145">
              <w:trPr>
                <w:cantSplit/>
                <w:jc w:val="center"/>
              </w:trPr>
              <w:tc>
                <w:tcPr>
                  <w:tcW w:w="393" w:type="dxa"/>
                  <w:tcBorders>
                    <w:top w:val="single" w:sz="4" w:space="0" w:color="auto"/>
                  </w:tcBorders>
                  <w:shd w:val="clear" w:color="auto" w:fill="auto"/>
                  <w:tcMar>
                    <w:left w:w="0" w:type="dxa"/>
                    <w:right w:w="0" w:type="dxa"/>
                  </w:tcMar>
                </w:tcPr>
                <w:p w14:paraId="64959F65" w14:textId="77777777" w:rsidR="007B4145" w:rsidRPr="00454325" w:rsidRDefault="007B4145" w:rsidP="007B4145">
                  <w:pPr>
                    <w:pStyle w:val="BodytextIndented"/>
                    <w:ind w:firstLine="0"/>
                    <w:jc w:val="center"/>
                    <w:rPr>
                      <w:lang w:val="en-GB"/>
                    </w:rPr>
                  </w:pPr>
                  <w:r w:rsidRPr="00454325">
                    <w:rPr>
                      <w:lang w:val="en-GB"/>
                    </w:rPr>
                    <w:t>1</w:t>
                  </w:r>
                </w:p>
              </w:tc>
              <w:tc>
                <w:tcPr>
                  <w:tcW w:w="1592" w:type="dxa"/>
                  <w:tcBorders>
                    <w:top w:val="single" w:sz="4" w:space="0" w:color="auto"/>
                  </w:tcBorders>
                </w:tcPr>
                <w:p w14:paraId="5B10D183" w14:textId="77777777" w:rsidR="007B4145" w:rsidRPr="00ED1960" w:rsidRDefault="007B4145" w:rsidP="007B4145">
                  <w:pPr>
                    <w:pStyle w:val="BodytextIndented"/>
                    <w:ind w:firstLine="0"/>
                    <w:rPr>
                      <w:lang w:val="en-GB"/>
                    </w:rPr>
                  </w:pPr>
                  <w:r w:rsidRPr="00ED1960">
                    <w:rPr>
                      <w:lang w:val="en-GB"/>
                    </w:rPr>
                    <w:t>IEEEXplore</w:t>
                  </w:r>
                </w:p>
              </w:tc>
              <w:tc>
                <w:tcPr>
                  <w:tcW w:w="6662" w:type="dxa"/>
                  <w:tcBorders>
                    <w:top w:val="single" w:sz="4" w:space="0" w:color="auto"/>
                  </w:tcBorders>
                  <w:shd w:val="clear" w:color="auto" w:fill="auto"/>
                  <w:tcMar>
                    <w:left w:w="0" w:type="dxa"/>
                    <w:right w:w="0" w:type="dxa"/>
                  </w:tcMar>
                </w:tcPr>
                <w:p w14:paraId="2F42770B" w14:textId="77777777" w:rsidR="007B4145" w:rsidRPr="00A23B33" w:rsidRDefault="007B4145" w:rsidP="007B4145">
                  <w:pPr>
                    <w:pStyle w:val="BodytextIndented"/>
                    <w:numPr>
                      <w:ilvl w:val="0"/>
                      <w:numId w:val="8"/>
                    </w:numPr>
                    <w:ind w:left="289" w:hanging="289"/>
                    <w:jc w:val="left"/>
                    <w:rPr>
                      <w:lang w:val="en-GB"/>
                    </w:rPr>
                  </w:pPr>
                  <w:r w:rsidRPr="00A23B33">
                    <w:rPr>
                      <w:lang w:val="en-GB"/>
                    </w:rPr>
                    <w:t>Journals</w:t>
                  </w:r>
                </w:p>
                <w:p w14:paraId="23DD9C6B" w14:textId="77777777" w:rsidR="007B4145" w:rsidRDefault="007B4145" w:rsidP="007B4145">
                  <w:pPr>
                    <w:pStyle w:val="BodytextIndented"/>
                    <w:numPr>
                      <w:ilvl w:val="0"/>
                      <w:numId w:val="8"/>
                    </w:numPr>
                    <w:ind w:left="289" w:hanging="289"/>
                    <w:jc w:val="left"/>
                    <w:rPr>
                      <w:b/>
                      <w:lang w:val="en-GB"/>
                    </w:rPr>
                  </w:pPr>
                  <w:r w:rsidRPr="00A23B33">
                    <w:rPr>
                      <w:lang w:val="en-GB"/>
                    </w:rPr>
                    <w:t>2015 – 2019</w:t>
                  </w:r>
                </w:p>
              </w:tc>
            </w:tr>
            <w:tr w:rsidR="007B4145" w:rsidRPr="00CE57CF" w14:paraId="4D336317" w14:textId="77777777" w:rsidTr="007B4145">
              <w:trPr>
                <w:cantSplit/>
                <w:jc w:val="center"/>
              </w:trPr>
              <w:tc>
                <w:tcPr>
                  <w:tcW w:w="393" w:type="dxa"/>
                  <w:shd w:val="clear" w:color="auto" w:fill="auto"/>
                  <w:tcMar>
                    <w:left w:w="0" w:type="dxa"/>
                    <w:right w:w="0" w:type="dxa"/>
                  </w:tcMar>
                </w:tcPr>
                <w:p w14:paraId="61DA4D49" w14:textId="77777777" w:rsidR="007B4145" w:rsidRPr="00454325" w:rsidRDefault="007B4145" w:rsidP="007B4145">
                  <w:pPr>
                    <w:pStyle w:val="BodytextIndented"/>
                    <w:ind w:firstLine="0"/>
                    <w:jc w:val="center"/>
                    <w:rPr>
                      <w:lang w:val="en-GB"/>
                    </w:rPr>
                  </w:pPr>
                  <w:r w:rsidRPr="00454325">
                    <w:rPr>
                      <w:lang w:val="en-GB"/>
                    </w:rPr>
                    <w:t>2</w:t>
                  </w:r>
                </w:p>
              </w:tc>
              <w:tc>
                <w:tcPr>
                  <w:tcW w:w="1592" w:type="dxa"/>
                </w:tcPr>
                <w:p w14:paraId="0ED3DF76" w14:textId="77777777" w:rsidR="007B4145" w:rsidRPr="00ED1960" w:rsidRDefault="007B4145" w:rsidP="007B4145">
                  <w:pPr>
                    <w:pStyle w:val="BodytextIndented"/>
                    <w:ind w:firstLine="0"/>
                    <w:rPr>
                      <w:lang w:val="en-GB"/>
                    </w:rPr>
                  </w:pPr>
                  <w:r w:rsidRPr="00ED1960">
                    <w:rPr>
                      <w:lang w:val="en-GB"/>
                    </w:rPr>
                    <w:t>Springer Link</w:t>
                  </w:r>
                </w:p>
              </w:tc>
              <w:tc>
                <w:tcPr>
                  <w:tcW w:w="6662" w:type="dxa"/>
                  <w:shd w:val="clear" w:color="auto" w:fill="auto"/>
                  <w:tcMar>
                    <w:left w:w="0" w:type="dxa"/>
                    <w:right w:w="0" w:type="dxa"/>
                  </w:tcMar>
                </w:tcPr>
                <w:p w14:paraId="71306198" w14:textId="77777777" w:rsidR="007B4145" w:rsidRPr="002F5582" w:rsidRDefault="007B4145" w:rsidP="007B4145">
                  <w:pPr>
                    <w:pStyle w:val="BodytextIndented"/>
                    <w:numPr>
                      <w:ilvl w:val="0"/>
                      <w:numId w:val="9"/>
                    </w:numPr>
                    <w:ind w:left="289" w:hanging="284"/>
                    <w:jc w:val="left"/>
                    <w:rPr>
                      <w:lang w:val="en-GB"/>
                    </w:rPr>
                  </w:pPr>
                  <w:r w:rsidRPr="002F5582">
                    <w:rPr>
                      <w:lang w:val="en-GB"/>
                    </w:rPr>
                    <w:t>Education, general</w:t>
                  </w:r>
                </w:p>
                <w:p w14:paraId="681CF91B" w14:textId="77777777" w:rsidR="007B4145" w:rsidRPr="002F5582" w:rsidRDefault="007B4145" w:rsidP="007B4145">
                  <w:pPr>
                    <w:pStyle w:val="BodytextIndented"/>
                    <w:numPr>
                      <w:ilvl w:val="0"/>
                      <w:numId w:val="9"/>
                    </w:numPr>
                    <w:ind w:left="289" w:hanging="284"/>
                    <w:jc w:val="left"/>
                    <w:rPr>
                      <w:lang w:val="en-GB"/>
                    </w:rPr>
                  </w:pPr>
                  <w:r w:rsidRPr="002F5582">
                    <w:rPr>
                      <w:lang w:val="en-GB"/>
                    </w:rPr>
                    <w:t>Educational Technology</w:t>
                  </w:r>
                </w:p>
                <w:p w14:paraId="3A8D686F" w14:textId="77777777" w:rsidR="007B4145" w:rsidRPr="00063E4B" w:rsidRDefault="007B4145" w:rsidP="007B4145">
                  <w:pPr>
                    <w:pStyle w:val="BodytextIndented"/>
                    <w:numPr>
                      <w:ilvl w:val="0"/>
                      <w:numId w:val="9"/>
                    </w:numPr>
                    <w:ind w:left="289" w:hanging="284"/>
                    <w:jc w:val="left"/>
                    <w:rPr>
                      <w:b/>
                      <w:lang w:val="en-GB"/>
                    </w:rPr>
                  </w:pPr>
                  <w:r w:rsidRPr="002F5582">
                    <w:rPr>
                      <w:lang w:val="en-GB"/>
                    </w:rPr>
                    <w:t>Computers and Education</w:t>
                  </w:r>
                </w:p>
                <w:p w14:paraId="5DEC4C2E" w14:textId="77777777" w:rsidR="007B4145" w:rsidRDefault="007B4145" w:rsidP="007B4145">
                  <w:pPr>
                    <w:pStyle w:val="BodytextIndented"/>
                    <w:numPr>
                      <w:ilvl w:val="0"/>
                      <w:numId w:val="9"/>
                    </w:numPr>
                    <w:ind w:left="289" w:hanging="284"/>
                    <w:jc w:val="left"/>
                    <w:rPr>
                      <w:b/>
                      <w:lang w:val="en-GB"/>
                    </w:rPr>
                  </w:pPr>
                  <w:r>
                    <w:rPr>
                      <w:lang w:val="en-GB"/>
                    </w:rPr>
                    <w:t>Article 2015 - 2019</w:t>
                  </w:r>
                </w:p>
              </w:tc>
            </w:tr>
            <w:tr w:rsidR="007B4145" w:rsidRPr="00CE57CF" w14:paraId="08A551B9" w14:textId="77777777" w:rsidTr="007B4145">
              <w:trPr>
                <w:cantSplit/>
                <w:jc w:val="center"/>
              </w:trPr>
              <w:tc>
                <w:tcPr>
                  <w:tcW w:w="393" w:type="dxa"/>
                  <w:shd w:val="clear" w:color="auto" w:fill="auto"/>
                  <w:tcMar>
                    <w:left w:w="0" w:type="dxa"/>
                    <w:right w:w="0" w:type="dxa"/>
                  </w:tcMar>
                </w:tcPr>
                <w:p w14:paraId="476D5627" w14:textId="77777777" w:rsidR="007B4145" w:rsidRPr="00454325" w:rsidRDefault="007B4145" w:rsidP="007B4145">
                  <w:pPr>
                    <w:pStyle w:val="BodytextIndented"/>
                    <w:ind w:firstLine="0"/>
                    <w:jc w:val="center"/>
                    <w:rPr>
                      <w:lang w:val="en-GB"/>
                    </w:rPr>
                  </w:pPr>
                  <w:r w:rsidRPr="00454325">
                    <w:rPr>
                      <w:lang w:val="en-GB"/>
                    </w:rPr>
                    <w:t>3</w:t>
                  </w:r>
                </w:p>
              </w:tc>
              <w:tc>
                <w:tcPr>
                  <w:tcW w:w="1592" w:type="dxa"/>
                </w:tcPr>
                <w:p w14:paraId="488EE61E" w14:textId="77777777" w:rsidR="007B4145" w:rsidRPr="00ED1960" w:rsidRDefault="007B4145" w:rsidP="007B4145">
                  <w:pPr>
                    <w:pStyle w:val="BodytextIndented"/>
                    <w:ind w:firstLine="0"/>
                    <w:rPr>
                      <w:lang w:val="en-GB"/>
                    </w:rPr>
                  </w:pPr>
                  <w:r w:rsidRPr="00ED1960">
                    <w:rPr>
                      <w:lang w:val="en-GB"/>
                    </w:rPr>
                    <w:t>Science Direct</w:t>
                  </w:r>
                </w:p>
              </w:tc>
              <w:tc>
                <w:tcPr>
                  <w:tcW w:w="6662" w:type="dxa"/>
                  <w:shd w:val="clear" w:color="auto" w:fill="auto"/>
                  <w:tcMar>
                    <w:left w:w="0" w:type="dxa"/>
                    <w:right w:w="0" w:type="dxa"/>
                  </w:tcMar>
                </w:tcPr>
                <w:p w14:paraId="2D1EDF79" w14:textId="77777777" w:rsidR="007B4145" w:rsidRPr="00063E4B" w:rsidRDefault="007B4145" w:rsidP="007B4145">
                  <w:pPr>
                    <w:pStyle w:val="BodytextIndented"/>
                    <w:numPr>
                      <w:ilvl w:val="0"/>
                      <w:numId w:val="10"/>
                    </w:numPr>
                    <w:ind w:left="289" w:hanging="284"/>
                    <w:jc w:val="left"/>
                    <w:rPr>
                      <w:lang w:val="en-GB"/>
                    </w:rPr>
                  </w:pPr>
                  <w:r w:rsidRPr="00063E4B">
                    <w:rPr>
                      <w:lang w:val="en-GB"/>
                    </w:rPr>
                    <w:t>Article type : research articles</w:t>
                  </w:r>
                </w:p>
                <w:p w14:paraId="146FDEE1" w14:textId="77777777" w:rsidR="007B4145" w:rsidRPr="00063E4B" w:rsidRDefault="007B4145" w:rsidP="007B4145">
                  <w:pPr>
                    <w:pStyle w:val="BodytextIndented"/>
                    <w:numPr>
                      <w:ilvl w:val="0"/>
                      <w:numId w:val="10"/>
                    </w:numPr>
                    <w:ind w:left="289" w:hanging="284"/>
                    <w:jc w:val="left"/>
                    <w:rPr>
                      <w:lang w:val="en-GB"/>
                    </w:rPr>
                  </w:pPr>
                  <w:r w:rsidRPr="00063E4B">
                    <w:rPr>
                      <w:lang w:val="en-GB"/>
                    </w:rPr>
                    <w:t>2015 – 2019</w:t>
                  </w:r>
                </w:p>
                <w:p w14:paraId="22C620E0" w14:textId="77777777" w:rsidR="007B4145" w:rsidRPr="00063E4B" w:rsidRDefault="007B4145" w:rsidP="007B4145">
                  <w:pPr>
                    <w:pStyle w:val="BodytextIndented"/>
                    <w:numPr>
                      <w:ilvl w:val="0"/>
                      <w:numId w:val="10"/>
                    </w:numPr>
                    <w:ind w:left="289" w:hanging="284"/>
                    <w:jc w:val="left"/>
                    <w:rPr>
                      <w:lang w:val="en-GB"/>
                    </w:rPr>
                  </w:pPr>
                  <w:r w:rsidRPr="00063E4B">
                    <w:rPr>
                      <w:lang w:val="en-GB"/>
                    </w:rPr>
                    <w:t>Teaching and Teacher Education</w:t>
                  </w:r>
                </w:p>
                <w:p w14:paraId="25E801A0" w14:textId="77777777" w:rsidR="007B4145" w:rsidRPr="00063E4B" w:rsidRDefault="007B4145" w:rsidP="007B4145">
                  <w:pPr>
                    <w:pStyle w:val="BodytextIndented"/>
                    <w:numPr>
                      <w:ilvl w:val="0"/>
                      <w:numId w:val="10"/>
                    </w:numPr>
                    <w:ind w:left="289" w:hanging="284"/>
                    <w:jc w:val="left"/>
                    <w:rPr>
                      <w:lang w:val="en-GB"/>
                    </w:rPr>
                  </w:pPr>
                  <w:r w:rsidRPr="00063E4B">
                    <w:rPr>
                      <w:lang w:val="en-GB"/>
                    </w:rPr>
                    <w:t>Computers &amp; Education</w:t>
                  </w:r>
                </w:p>
                <w:p w14:paraId="50931F35" w14:textId="77777777" w:rsidR="007B4145" w:rsidRPr="00063E4B" w:rsidRDefault="007B4145" w:rsidP="007B4145">
                  <w:pPr>
                    <w:pStyle w:val="BodytextIndented"/>
                    <w:numPr>
                      <w:ilvl w:val="0"/>
                      <w:numId w:val="10"/>
                    </w:numPr>
                    <w:ind w:left="289" w:hanging="284"/>
                    <w:jc w:val="left"/>
                    <w:rPr>
                      <w:lang w:val="en-GB"/>
                    </w:rPr>
                  </w:pPr>
                  <w:r w:rsidRPr="00063E4B">
                    <w:rPr>
                      <w:lang w:val="en-GB"/>
                    </w:rPr>
                    <w:t>International Journal of Educational Development</w:t>
                  </w:r>
                </w:p>
                <w:p w14:paraId="3721040E" w14:textId="77777777" w:rsidR="007B4145" w:rsidRPr="00063E4B" w:rsidRDefault="007B4145" w:rsidP="007B4145">
                  <w:pPr>
                    <w:pStyle w:val="BodytextIndented"/>
                    <w:numPr>
                      <w:ilvl w:val="0"/>
                      <w:numId w:val="10"/>
                    </w:numPr>
                    <w:ind w:left="289" w:hanging="284"/>
                    <w:jc w:val="left"/>
                    <w:rPr>
                      <w:lang w:val="en-GB"/>
                    </w:rPr>
                  </w:pPr>
                  <w:r w:rsidRPr="00063E4B">
                    <w:rPr>
                      <w:lang w:val="en-GB"/>
                    </w:rPr>
                    <w:t>International Journal of Educational Research</w:t>
                  </w:r>
                </w:p>
              </w:tc>
            </w:tr>
            <w:tr w:rsidR="007B4145" w:rsidRPr="00CE57CF" w14:paraId="67E4B873" w14:textId="77777777" w:rsidTr="007B4145">
              <w:trPr>
                <w:cantSplit/>
                <w:jc w:val="center"/>
              </w:trPr>
              <w:tc>
                <w:tcPr>
                  <w:tcW w:w="393" w:type="dxa"/>
                  <w:shd w:val="clear" w:color="auto" w:fill="auto"/>
                  <w:tcMar>
                    <w:left w:w="0" w:type="dxa"/>
                    <w:right w:w="0" w:type="dxa"/>
                  </w:tcMar>
                </w:tcPr>
                <w:p w14:paraId="493CE85E" w14:textId="77777777" w:rsidR="007B4145" w:rsidRPr="00454325" w:rsidRDefault="007B4145" w:rsidP="007B4145">
                  <w:pPr>
                    <w:pStyle w:val="BodytextIndented"/>
                    <w:ind w:firstLine="0"/>
                    <w:jc w:val="center"/>
                    <w:rPr>
                      <w:lang w:val="en-GB"/>
                    </w:rPr>
                  </w:pPr>
                  <w:r w:rsidRPr="00454325">
                    <w:rPr>
                      <w:lang w:val="en-GB"/>
                    </w:rPr>
                    <w:t>4</w:t>
                  </w:r>
                </w:p>
              </w:tc>
              <w:tc>
                <w:tcPr>
                  <w:tcW w:w="1592" w:type="dxa"/>
                </w:tcPr>
                <w:p w14:paraId="40AB46E6" w14:textId="77777777" w:rsidR="007B4145" w:rsidRPr="00ED1960" w:rsidRDefault="007B4145" w:rsidP="007B4145">
                  <w:pPr>
                    <w:pStyle w:val="BodytextIndented"/>
                    <w:ind w:firstLine="0"/>
                    <w:rPr>
                      <w:lang w:val="en-GB"/>
                    </w:rPr>
                  </w:pPr>
                  <w:r w:rsidRPr="00ED1960">
                    <w:rPr>
                      <w:lang w:val="en-GB"/>
                    </w:rPr>
                    <w:t>ERIC</w:t>
                  </w:r>
                </w:p>
              </w:tc>
              <w:tc>
                <w:tcPr>
                  <w:tcW w:w="6662" w:type="dxa"/>
                  <w:shd w:val="clear" w:color="auto" w:fill="auto"/>
                  <w:tcMar>
                    <w:left w:w="0" w:type="dxa"/>
                    <w:right w:w="0" w:type="dxa"/>
                  </w:tcMar>
                </w:tcPr>
                <w:p w14:paraId="05CBBCDA" w14:textId="77777777" w:rsidR="007B4145" w:rsidRPr="007D224F" w:rsidRDefault="007B4145" w:rsidP="007B4145">
                  <w:pPr>
                    <w:pStyle w:val="BodytextIndented"/>
                    <w:numPr>
                      <w:ilvl w:val="0"/>
                      <w:numId w:val="12"/>
                    </w:numPr>
                    <w:ind w:left="317" w:hanging="317"/>
                    <w:rPr>
                      <w:lang w:val="en-GB"/>
                    </w:rPr>
                  </w:pPr>
                  <w:r w:rsidRPr="007D224F">
                    <w:rPr>
                      <w:lang w:val="en-GB"/>
                    </w:rPr>
                    <w:t>Since 2015</w:t>
                  </w:r>
                </w:p>
                <w:p w14:paraId="74189BC2" w14:textId="77777777" w:rsidR="007B4145" w:rsidRPr="007D224F" w:rsidRDefault="007B4145" w:rsidP="007B4145">
                  <w:pPr>
                    <w:pStyle w:val="BodytextIndented"/>
                    <w:numPr>
                      <w:ilvl w:val="0"/>
                      <w:numId w:val="12"/>
                    </w:numPr>
                    <w:ind w:left="317" w:hanging="317"/>
                    <w:rPr>
                      <w:lang w:val="en-GB"/>
                    </w:rPr>
                  </w:pPr>
                  <w:r w:rsidRPr="007D224F">
                    <w:rPr>
                      <w:lang w:val="en-GB"/>
                    </w:rPr>
                    <w:t>Journal Articles</w:t>
                  </w:r>
                </w:p>
                <w:p w14:paraId="6F1C53E4" w14:textId="77777777" w:rsidR="007B4145" w:rsidRPr="007D224F" w:rsidRDefault="007B4145" w:rsidP="007B4145">
                  <w:pPr>
                    <w:pStyle w:val="BodytextIndented"/>
                    <w:numPr>
                      <w:ilvl w:val="0"/>
                      <w:numId w:val="12"/>
                    </w:numPr>
                    <w:ind w:left="317" w:hanging="317"/>
                    <w:rPr>
                      <w:lang w:val="en-GB"/>
                    </w:rPr>
                  </w:pPr>
                  <w:r w:rsidRPr="007D224F">
                    <w:rPr>
                      <w:lang w:val="en-GB"/>
                    </w:rPr>
                    <w:t>Academic Achievement</w:t>
                  </w:r>
                </w:p>
                <w:p w14:paraId="2CCB39C1" w14:textId="77777777" w:rsidR="007B4145" w:rsidRPr="007D224F" w:rsidRDefault="007B4145" w:rsidP="007B4145">
                  <w:pPr>
                    <w:pStyle w:val="BodytextIndented"/>
                    <w:numPr>
                      <w:ilvl w:val="0"/>
                      <w:numId w:val="12"/>
                    </w:numPr>
                    <w:ind w:left="317" w:hanging="317"/>
                    <w:rPr>
                      <w:lang w:val="en-GB"/>
                    </w:rPr>
                  </w:pPr>
                  <w:r w:rsidRPr="007D224F">
                    <w:rPr>
                      <w:lang w:val="en-GB"/>
                    </w:rPr>
                    <w:t>Higher Education</w:t>
                  </w:r>
                </w:p>
                <w:p w14:paraId="0B73788F" w14:textId="77777777" w:rsidR="007B4145" w:rsidRDefault="007B4145" w:rsidP="007B4145">
                  <w:pPr>
                    <w:pStyle w:val="BodytextIndented"/>
                    <w:numPr>
                      <w:ilvl w:val="0"/>
                      <w:numId w:val="12"/>
                    </w:numPr>
                    <w:ind w:left="317" w:hanging="317"/>
                    <w:rPr>
                      <w:b/>
                      <w:lang w:val="en-GB"/>
                    </w:rPr>
                  </w:pPr>
                  <w:r w:rsidRPr="007D224F">
                    <w:rPr>
                      <w:lang w:val="en-GB"/>
                    </w:rPr>
                    <w:t>High Schools</w:t>
                  </w:r>
                </w:p>
              </w:tc>
            </w:tr>
            <w:tr w:rsidR="007B4145" w:rsidRPr="00CE57CF" w14:paraId="3E9F9BE4" w14:textId="77777777" w:rsidTr="007B4145">
              <w:trPr>
                <w:cantSplit/>
                <w:jc w:val="center"/>
              </w:trPr>
              <w:tc>
                <w:tcPr>
                  <w:tcW w:w="393" w:type="dxa"/>
                  <w:tcBorders>
                    <w:bottom w:val="single" w:sz="4" w:space="0" w:color="auto"/>
                  </w:tcBorders>
                  <w:shd w:val="clear" w:color="auto" w:fill="auto"/>
                  <w:tcMar>
                    <w:left w:w="0" w:type="dxa"/>
                    <w:right w:w="0" w:type="dxa"/>
                  </w:tcMar>
                </w:tcPr>
                <w:p w14:paraId="4C84FDF3" w14:textId="77777777" w:rsidR="007B4145" w:rsidRPr="00CE57CF" w:rsidRDefault="007B4145" w:rsidP="007B4145">
                  <w:pPr>
                    <w:tabs>
                      <w:tab w:val="left" w:pos="567"/>
                    </w:tabs>
                    <w:spacing w:before="40" w:after="40"/>
                    <w:ind w:left="28"/>
                    <w:jc w:val="center"/>
                    <w:rPr>
                      <w:rFonts w:ascii="Times New Roman" w:hAnsi="Times New Roman"/>
                      <w:color w:val="000000"/>
                      <w:szCs w:val="22"/>
                    </w:rPr>
                  </w:pPr>
                </w:p>
              </w:tc>
              <w:tc>
                <w:tcPr>
                  <w:tcW w:w="1592" w:type="dxa"/>
                  <w:tcBorders>
                    <w:bottom w:val="single" w:sz="4" w:space="0" w:color="auto"/>
                  </w:tcBorders>
                </w:tcPr>
                <w:p w14:paraId="250F3BE1" w14:textId="77777777" w:rsidR="007B4145" w:rsidRPr="00CE57CF" w:rsidRDefault="007B4145" w:rsidP="007B4145">
                  <w:pPr>
                    <w:tabs>
                      <w:tab w:val="left" w:pos="567"/>
                    </w:tabs>
                    <w:spacing w:before="40" w:after="40"/>
                    <w:rPr>
                      <w:rFonts w:ascii="Times New Roman" w:hAnsi="Times New Roman"/>
                      <w:color w:val="000000"/>
                      <w:szCs w:val="22"/>
                    </w:rPr>
                  </w:pPr>
                </w:p>
              </w:tc>
              <w:tc>
                <w:tcPr>
                  <w:tcW w:w="6662" w:type="dxa"/>
                  <w:tcBorders>
                    <w:bottom w:val="single" w:sz="4" w:space="0" w:color="auto"/>
                  </w:tcBorders>
                  <w:shd w:val="clear" w:color="auto" w:fill="auto"/>
                  <w:tcMar>
                    <w:left w:w="0" w:type="dxa"/>
                    <w:right w:w="0" w:type="dxa"/>
                  </w:tcMar>
                </w:tcPr>
                <w:p w14:paraId="5478F018" w14:textId="77777777" w:rsidR="007B4145" w:rsidRPr="00CE57CF" w:rsidRDefault="007B4145" w:rsidP="007B4145">
                  <w:pPr>
                    <w:tabs>
                      <w:tab w:val="left" w:pos="567"/>
                    </w:tabs>
                    <w:spacing w:before="40" w:after="40"/>
                    <w:rPr>
                      <w:rFonts w:ascii="Times New Roman" w:hAnsi="Times New Roman"/>
                      <w:color w:val="000000"/>
                      <w:szCs w:val="22"/>
                    </w:rPr>
                  </w:pPr>
                </w:p>
              </w:tc>
            </w:tr>
          </w:tbl>
          <w:p w14:paraId="0C2C4522" w14:textId="77777777" w:rsidR="0039507C" w:rsidRDefault="0039507C" w:rsidP="00701781">
            <w:pPr>
              <w:tabs>
                <w:tab w:val="left" w:pos="567"/>
              </w:tabs>
              <w:spacing w:after="120"/>
              <w:ind w:left="28"/>
              <w:jc w:val="center"/>
              <w:rPr>
                <w:rFonts w:ascii="Times New Roman" w:hAnsi="Times New Roman"/>
                <w:b/>
                <w:color w:val="000000"/>
                <w:szCs w:val="22"/>
              </w:rPr>
            </w:pPr>
          </w:p>
          <w:p w14:paraId="1964F1E3" w14:textId="77777777" w:rsidR="009C7F6D" w:rsidRPr="00CE57CF" w:rsidRDefault="009C7F6D" w:rsidP="00701781">
            <w:pPr>
              <w:tabs>
                <w:tab w:val="left" w:pos="567"/>
              </w:tabs>
              <w:spacing w:after="120"/>
              <w:ind w:left="28"/>
              <w:jc w:val="center"/>
              <w:rPr>
                <w:rFonts w:ascii="Times New Roman" w:hAnsi="Times New Roman"/>
                <w:color w:val="000000"/>
                <w:szCs w:val="22"/>
              </w:rPr>
            </w:pPr>
            <w:r>
              <w:rPr>
                <w:rFonts w:ascii="Times New Roman" w:hAnsi="Times New Roman"/>
                <w:b/>
                <w:color w:val="000000"/>
                <w:szCs w:val="22"/>
              </w:rPr>
              <w:t>Table 4</w:t>
            </w:r>
            <w:r w:rsidRPr="00CE57CF">
              <w:rPr>
                <w:rFonts w:ascii="Times New Roman" w:hAnsi="Times New Roman"/>
                <w:b/>
                <w:color w:val="000000"/>
                <w:szCs w:val="22"/>
              </w:rPr>
              <w:t>.</w:t>
            </w:r>
            <w:r>
              <w:rPr>
                <w:rFonts w:ascii="Times New Roman" w:hAnsi="Times New Roman"/>
                <w:color w:val="000000"/>
                <w:szCs w:val="22"/>
              </w:rPr>
              <w:t xml:space="preserve"> Eksklusi secara Spesifik</w:t>
            </w:r>
          </w:p>
        </w:tc>
      </w:tr>
      <w:tr w:rsidR="00701781" w:rsidRPr="00CE57CF" w14:paraId="563F85FB" w14:textId="77777777" w:rsidTr="007B4145">
        <w:trPr>
          <w:cantSplit/>
          <w:jc w:val="center"/>
        </w:trPr>
        <w:tc>
          <w:tcPr>
            <w:tcW w:w="393" w:type="dxa"/>
            <w:tcBorders>
              <w:top w:val="single" w:sz="6" w:space="0" w:color="auto"/>
              <w:bottom w:val="single" w:sz="4" w:space="0" w:color="auto"/>
            </w:tcBorders>
            <w:shd w:val="clear" w:color="auto" w:fill="auto"/>
            <w:tcMar>
              <w:left w:w="0" w:type="dxa"/>
              <w:right w:w="0" w:type="dxa"/>
            </w:tcMar>
          </w:tcPr>
          <w:p w14:paraId="2E84AE9B" w14:textId="77777777" w:rsidR="00701781" w:rsidRPr="00F77539" w:rsidRDefault="00701781" w:rsidP="00A30CE0">
            <w:pPr>
              <w:tabs>
                <w:tab w:val="left" w:pos="567"/>
              </w:tabs>
              <w:spacing w:before="40" w:after="40"/>
              <w:ind w:left="28"/>
              <w:rPr>
                <w:rFonts w:ascii="Times New Roman" w:hAnsi="Times New Roman"/>
                <w:b/>
                <w:color w:val="000000"/>
                <w:szCs w:val="22"/>
              </w:rPr>
            </w:pPr>
            <w:r w:rsidRPr="00F77539">
              <w:rPr>
                <w:rFonts w:ascii="Times New Roman" w:hAnsi="Times New Roman"/>
                <w:b/>
                <w:color w:val="000000"/>
                <w:szCs w:val="22"/>
              </w:rPr>
              <w:t>No</w:t>
            </w:r>
          </w:p>
        </w:tc>
        <w:tc>
          <w:tcPr>
            <w:tcW w:w="1592" w:type="dxa"/>
            <w:tcBorders>
              <w:top w:val="single" w:sz="6" w:space="0" w:color="auto"/>
              <w:bottom w:val="single" w:sz="4" w:space="0" w:color="auto"/>
            </w:tcBorders>
          </w:tcPr>
          <w:p w14:paraId="332B34B8" w14:textId="77777777" w:rsidR="00701781" w:rsidRPr="00F77539" w:rsidRDefault="00701781" w:rsidP="00A30CE0">
            <w:pPr>
              <w:tabs>
                <w:tab w:val="left" w:pos="567"/>
                <w:tab w:val="left" w:pos="2460"/>
                <w:tab w:val="center" w:pos="2778"/>
              </w:tabs>
              <w:spacing w:before="40" w:after="40"/>
              <w:ind w:left="28"/>
              <w:rPr>
                <w:rFonts w:ascii="Times New Roman" w:hAnsi="Times New Roman"/>
                <w:b/>
                <w:color w:val="000000"/>
                <w:szCs w:val="22"/>
              </w:rPr>
            </w:pPr>
            <w:r>
              <w:rPr>
                <w:rFonts w:ascii="Times New Roman" w:hAnsi="Times New Roman"/>
                <w:b/>
                <w:color w:val="000000"/>
                <w:szCs w:val="22"/>
              </w:rPr>
              <w:t>Publishers</w:t>
            </w:r>
          </w:p>
        </w:tc>
        <w:tc>
          <w:tcPr>
            <w:tcW w:w="6662" w:type="dxa"/>
            <w:tcBorders>
              <w:top w:val="single" w:sz="6" w:space="0" w:color="auto"/>
              <w:bottom w:val="single" w:sz="4" w:space="0" w:color="auto"/>
            </w:tcBorders>
            <w:shd w:val="clear" w:color="auto" w:fill="auto"/>
            <w:tcMar>
              <w:left w:w="0" w:type="dxa"/>
              <w:right w:w="0" w:type="dxa"/>
            </w:tcMar>
          </w:tcPr>
          <w:p w14:paraId="1B924A77" w14:textId="77777777" w:rsidR="00701781" w:rsidRPr="00F77539" w:rsidRDefault="00701781" w:rsidP="00A30CE0">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Spesifik</w:t>
            </w:r>
          </w:p>
        </w:tc>
      </w:tr>
      <w:tr w:rsidR="00701781" w:rsidRPr="00CE57CF" w14:paraId="35DBCC84" w14:textId="77777777" w:rsidTr="007B4145">
        <w:trPr>
          <w:cantSplit/>
          <w:jc w:val="center"/>
        </w:trPr>
        <w:tc>
          <w:tcPr>
            <w:tcW w:w="393" w:type="dxa"/>
            <w:tcBorders>
              <w:top w:val="single" w:sz="4" w:space="0" w:color="auto"/>
            </w:tcBorders>
            <w:shd w:val="clear" w:color="auto" w:fill="auto"/>
            <w:tcMar>
              <w:left w:w="0" w:type="dxa"/>
              <w:right w:w="0" w:type="dxa"/>
            </w:tcMar>
          </w:tcPr>
          <w:p w14:paraId="5E03C45A" w14:textId="77777777" w:rsidR="00701781" w:rsidRPr="00454325" w:rsidRDefault="00701781" w:rsidP="00701781">
            <w:pPr>
              <w:pStyle w:val="BodytextIndented"/>
              <w:ind w:firstLine="0"/>
              <w:jc w:val="center"/>
              <w:rPr>
                <w:lang w:val="en-GB"/>
              </w:rPr>
            </w:pPr>
            <w:r w:rsidRPr="00454325">
              <w:rPr>
                <w:lang w:val="en-GB"/>
              </w:rPr>
              <w:t>1</w:t>
            </w:r>
          </w:p>
        </w:tc>
        <w:tc>
          <w:tcPr>
            <w:tcW w:w="1592" w:type="dxa"/>
            <w:tcBorders>
              <w:top w:val="single" w:sz="4" w:space="0" w:color="auto"/>
            </w:tcBorders>
          </w:tcPr>
          <w:p w14:paraId="51908630" w14:textId="77777777" w:rsidR="00701781" w:rsidRPr="00ED1960" w:rsidRDefault="00701781" w:rsidP="00701781">
            <w:pPr>
              <w:pStyle w:val="BodytextIndented"/>
              <w:ind w:firstLine="0"/>
              <w:rPr>
                <w:lang w:val="en-GB"/>
              </w:rPr>
            </w:pPr>
            <w:r w:rsidRPr="00ED1960">
              <w:rPr>
                <w:lang w:val="en-GB"/>
              </w:rPr>
              <w:t>IEEEXplore</w:t>
            </w:r>
          </w:p>
        </w:tc>
        <w:tc>
          <w:tcPr>
            <w:tcW w:w="6662" w:type="dxa"/>
            <w:tcBorders>
              <w:top w:val="single" w:sz="4" w:space="0" w:color="auto"/>
            </w:tcBorders>
            <w:shd w:val="clear" w:color="auto" w:fill="auto"/>
            <w:tcMar>
              <w:left w:w="0" w:type="dxa"/>
              <w:right w:w="0" w:type="dxa"/>
            </w:tcMar>
          </w:tcPr>
          <w:p w14:paraId="3078C2F2" w14:textId="77777777" w:rsidR="00701781" w:rsidRPr="00A23B33" w:rsidRDefault="00701781" w:rsidP="00701781">
            <w:pPr>
              <w:pStyle w:val="BodytextIndented"/>
              <w:numPr>
                <w:ilvl w:val="0"/>
                <w:numId w:val="18"/>
              </w:numPr>
              <w:ind w:left="317" w:hanging="317"/>
              <w:jc w:val="left"/>
              <w:rPr>
                <w:lang w:val="en-GB"/>
              </w:rPr>
            </w:pPr>
            <w:r>
              <w:rPr>
                <w:lang w:val="en-GB"/>
              </w:rPr>
              <w:t>Conferences, Magazines, Early Access Article</w:t>
            </w:r>
          </w:p>
          <w:p w14:paraId="23DB79C9" w14:textId="77777777" w:rsidR="00701781" w:rsidRDefault="00701781" w:rsidP="00701781">
            <w:pPr>
              <w:pStyle w:val="BodytextIndented"/>
              <w:numPr>
                <w:ilvl w:val="0"/>
                <w:numId w:val="18"/>
              </w:numPr>
              <w:ind w:left="317" w:hanging="317"/>
              <w:jc w:val="left"/>
              <w:rPr>
                <w:b/>
                <w:lang w:val="en-GB"/>
              </w:rPr>
            </w:pPr>
            <w:r>
              <w:rPr>
                <w:lang w:val="en-GB"/>
              </w:rPr>
              <w:t>1940</w:t>
            </w:r>
            <w:r w:rsidRPr="00A23B33">
              <w:rPr>
                <w:lang w:val="en-GB"/>
              </w:rPr>
              <w:t xml:space="preserve"> – 2019</w:t>
            </w:r>
          </w:p>
        </w:tc>
      </w:tr>
      <w:tr w:rsidR="00701781" w:rsidRPr="00CE57CF" w14:paraId="6A6A6C4F" w14:textId="77777777" w:rsidTr="007B4145">
        <w:trPr>
          <w:cantSplit/>
          <w:jc w:val="center"/>
        </w:trPr>
        <w:tc>
          <w:tcPr>
            <w:tcW w:w="393" w:type="dxa"/>
            <w:shd w:val="clear" w:color="auto" w:fill="auto"/>
            <w:tcMar>
              <w:left w:w="0" w:type="dxa"/>
              <w:right w:w="0" w:type="dxa"/>
            </w:tcMar>
          </w:tcPr>
          <w:p w14:paraId="4C41BC25" w14:textId="77777777" w:rsidR="00701781" w:rsidRPr="00454325" w:rsidRDefault="00701781" w:rsidP="00701781">
            <w:pPr>
              <w:pStyle w:val="BodytextIndented"/>
              <w:ind w:firstLine="0"/>
              <w:jc w:val="center"/>
              <w:rPr>
                <w:lang w:val="en-GB"/>
              </w:rPr>
            </w:pPr>
            <w:r w:rsidRPr="00454325">
              <w:rPr>
                <w:lang w:val="en-GB"/>
              </w:rPr>
              <w:t>2</w:t>
            </w:r>
          </w:p>
        </w:tc>
        <w:tc>
          <w:tcPr>
            <w:tcW w:w="1592" w:type="dxa"/>
          </w:tcPr>
          <w:p w14:paraId="10DBA944" w14:textId="77777777" w:rsidR="00701781" w:rsidRPr="00ED1960" w:rsidRDefault="00701781" w:rsidP="00701781">
            <w:pPr>
              <w:pStyle w:val="BodytextIndented"/>
              <w:ind w:firstLine="0"/>
              <w:rPr>
                <w:lang w:val="en-GB"/>
              </w:rPr>
            </w:pPr>
            <w:r w:rsidRPr="00ED1960">
              <w:rPr>
                <w:lang w:val="en-GB"/>
              </w:rPr>
              <w:t>Springer Link</w:t>
            </w:r>
          </w:p>
        </w:tc>
        <w:tc>
          <w:tcPr>
            <w:tcW w:w="6662" w:type="dxa"/>
            <w:shd w:val="clear" w:color="auto" w:fill="auto"/>
            <w:tcMar>
              <w:left w:w="0" w:type="dxa"/>
              <w:right w:w="0" w:type="dxa"/>
            </w:tcMar>
          </w:tcPr>
          <w:p w14:paraId="55F956AA" w14:textId="77777777" w:rsidR="00701781" w:rsidRPr="00BC6AB6" w:rsidRDefault="00701781" w:rsidP="00701781">
            <w:pPr>
              <w:pStyle w:val="BodytextIndented"/>
              <w:numPr>
                <w:ilvl w:val="0"/>
                <w:numId w:val="19"/>
              </w:numPr>
              <w:ind w:left="317" w:hanging="317"/>
              <w:jc w:val="left"/>
              <w:rPr>
                <w:b/>
                <w:lang w:val="en-GB"/>
              </w:rPr>
            </w:pPr>
            <w:r>
              <w:rPr>
                <w:lang w:val="en-GB"/>
              </w:rPr>
              <w:t xml:space="preserve">Another Dicipline, </w:t>
            </w:r>
            <w:r w:rsidRPr="00BC6AB6">
              <w:rPr>
                <w:lang w:val="en-GB"/>
              </w:rPr>
              <w:t>except Education, general, Educational Technology,</w:t>
            </w:r>
            <w:r>
              <w:rPr>
                <w:lang w:val="en-GB"/>
              </w:rPr>
              <w:t xml:space="preserve"> </w:t>
            </w:r>
            <w:r w:rsidRPr="00BC6AB6">
              <w:rPr>
                <w:lang w:val="en-GB"/>
              </w:rPr>
              <w:t>Computers and Education</w:t>
            </w:r>
          </w:p>
          <w:p w14:paraId="597EA41A" w14:textId="77777777" w:rsidR="00701781" w:rsidRDefault="00701781" w:rsidP="00701781">
            <w:pPr>
              <w:pStyle w:val="BodytextIndented"/>
              <w:numPr>
                <w:ilvl w:val="0"/>
                <w:numId w:val="19"/>
              </w:numPr>
              <w:ind w:left="317" w:hanging="317"/>
              <w:jc w:val="left"/>
              <w:rPr>
                <w:b/>
                <w:lang w:val="en-GB"/>
              </w:rPr>
            </w:pPr>
            <w:r>
              <w:rPr>
                <w:lang w:val="en-GB"/>
              </w:rPr>
              <w:t>Chapter, Conference Paper, Book, Conference Proceedings 2015 - 2019</w:t>
            </w:r>
          </w:p>
        </w:tc>
      </w:tr>
      <w:tr w:rsidR="00701781" w:rsidRPr="00CE57CF" w14:paraId="10FDF657" w14:textId="77777777" w:rsidTr="007B4145">
        <w:trPr>
          <w:cantSplit/>
          <w:jc w:val="center"/>
        </w:trPr>
        <w:tc>
          <w:tcPr>
            <w:tcW w:w="393" w:type="dxa"/>
            <w:shd w:val="clear" w:color="auto" w:fill="auto"/>
            <w:tcMar>
              <w:left w:w="0" w:type="dxa"/>
              <w:right w:w="0" w:type="dxa"/>
            </w:tcMar>
          </w:tcPr>
          <w:p w14:paraId="0FC9FE00" w14:textId="77777777" w:rsidR="00701781" w:rsidRPr="00454325" w:rsidRDefault="00701781" w:rsidP="00701781">
            <w:pPr>
              <w:pStyle w:val="BodytextIndented"/>
              <w:ind w:firstLine="0"/>
              <w:jc w:val="center"/>
              <w:rPr>
                <w:lang w:val="en-GB"/>
              </w:rPr>
            </w:pPr>
            <w:r w:rsidRPr="00454325">
              <w:rPr>
                <w:lang w:val="en-GB"/>
              </w:rPr>
              <w:t>3</w:t>
            </w:r>
          </w:p>
        </w:tc>
        <w:tc>
          <w:tcPr>
            <w:tcW w:w="1592" w:type="dxa"/>
          </w:tcPr>
          <w:p w14:paraId="5321FDAC" w14:textId="77777777" w:rsidR="00701781" w:rsidRPr="00ED1960" w:rsidRDefault="00701781" w:rsidP="00701781">
            <w:pPr>
              <w:pStyle w:val="BodytextIndented"/>
              <w:ind w:firstLine="0"/>
              <w:rPr>
                <w:lang w:val="en-GB"/>
              </w:rPr>
            </w:pPr>
            <w:r w:rsidRPr="00ED1960">
              <w:rPr>
                <w:lang w:val="en-GB"/>
              </w:rPr>
              <w:t>Science Direct</w:t>
            </w:r>
          </w:p>
        </w:tc>
        <w:tc>
          <w:tcPr>
            <w:tcW w:w="6662" w:type="dxa"/>
            <w:shd w:val="clear" w:color="auto" w:fill="auto"/>
            <w:tcMar>
              <w:left w:w="0" w:type="dxa"/>
              <w:right w:w="0" w:type="dxa"/>
            </w:tcMar>
          </w:tcPr>
          <w:p w14:paraId="5A0D87C0" w14:textId="77777777" w:rsidR="00701781" w:rsidRPr="00063E4B" w:rsidRDefault="00701781" w:rsidP="00701781">
            <w:pPr>
              <w:pStyle w:val="BodytextIndented"/>
              <w:numPr>
                <w:ilvl w:val="0"/>
                <w:numId w:val="20"/>
              </w:numPr>
              <w:ind w:left="317" w:hanging="317"/>
              <w:jc w:val="left"/>
              <w:rPr>
                <w:lang w:val="en-GB"/>
              </w:rPr>
            </w:pPr>
            <w:r w:rsidRPr="00063E4B">
              <w:rPr>
                <w:lang w:val="en-GB"/>
              </w:rPr>
              <w:t xml:space="preserve">Article type : </w:t>
            </w:r>
            <w:r>
              <w:rPr>
                <w:lang w:val="en-GB"/>
              </w:rPr>
              <w:t>review articles, book chapters, Conference info, Conference Abstracts, etc. except Teaching and Teacher Education, Computers &amp; Education, International Journal of Educational Development, International Journal of Educational Research</w:t>
            </w:r>
          </w:p>
          <w:p w14:paraId="541DA98A" w14:textId="77777777" w:rsidR="00701781" w:rsidRPr="00063E4B" w:rsidRDefault="00701781" w:rsidP="00701781">
            <w:pPr>
              <w:pStyle w:val="BodytextIndented"/>
              <w:numPr>
                <w:ilvl w:val="0"/>
                <w:numId w:val="20"/>
              </w:numPr>
              <w:ind w:left="317" w:hanging="317"/>
              <w:jc w:val="left"/>
              <w:rPr>
                <w:lang w:val="en-GB"/>
              </w:rPr>
            </w:pPr>
            <w:r>
              <w:rPr>
                <w:lang w:val="en-GB"/>
              </w:rPr>
              <w:t xml:space="preserve">Another Range except </w:t>
            </w:r>
            <w:r w:rsidRPr="00063E4B">
              <w:rPr>
                <w:lang w:val="en-GB"/>
              </w:rPr>
              <w:t>2015 – 2019</w:t>
            </w:r>
          </w:p>
        </w:tc>
      </w:tr>
      <w:tr w:rsidR="00701781" w:rsidRPr="00CE57CF" w14:paraId="2C4E92F6" w14:textId="77777777" w:rsidTr="007B4145">
        <w:trPr>
          <w:cantSplit/>
          <w:jc w:val="center"/>
        </w:trPr>
        <w:tc>
          <w:tcPr>
            <w:tcW w:w="393" w:type="dxa"/>
            <w:shd w:val="clear" w:color="auto" w:fill="auto"/>
            <w:tcMar>
              <w:left w:w="0" w:type="dxa"/>
              <w:right w:w="0" w:type="dxa"/>
            </w:tcMar>
          </w:tcPr>
          <w:p w14:paraId="79E02DF6" w14:textId="77777777" w:rsidR="00701781" w:rsidRPr="00454325" w:rsidRDefault="00701781" w:rsidP="00701781">
            <w:pPr>
              <w:pStyle w:val="BodytextIndented"/>
              <w:ind w:firstLine="0"/>
              <w:jc w:val="center"/>
              <w:rPr>
                <w:lang w:val="en-GB"/>
              </w:rPr>
            </w:pPr>
            <w:r w:rsidRPr="00454325">
              <w:rPr>
                <w:lang w:val="en-GB"/>
              </w:rPr>
              <w:t>4</w:t>
            </w:r>
          </w:p>
        </w:tc>
        <w:tc>
          <w:tcPr>
            <w:tcW w:w="1592" w:type="dxa"/>
          </w:tcPr>
          <w:p w14:paraId="285025B6" w14:textId="77777777" w:rsidR="00701781" w:rsidRPr="00ED1960" w:rsidRDefault="00701781" w:rsidP="00701781">
            <w:pPr>
              <w:pStyle w:val="BodytextIndented"/>
              <w:ind w:firstLine="0"/>
              <w:rPr>
                <w:lang w:val="en-GB"/>
              </w:rPr>
            </w:pPr>
            <w:r w:rsidRPr="00ED1960">
              <w:rPr>
                <w:lang w:val="en-GB"/>
              </w:rPr>
              <w:t>ERIC</w:t>
            </w:r>
          </w:p>
        </w:tc>
        <w:tc>
          <w:tcPr>
            <w:tcW w:w="6662" w:type="dxa"/>
            <w:shd w:val="clear" w:color="auto" w:fill="auto"/>
            <w:tcMar>
              <w:left w:w="0" w:type="dxa"/>
              <w:right w:w="0" w:type="dxa"/>
            </w:tcMar>
          </w:tcPr>
          <w:p w14:paraId="25C38DF6" w14:textId="77777777" w:rsidR="00701781" w:rsidRPr="007D224F" w:rsidRDefault="00701781" w:rsidP="00701781">
            <w:pPr>
              <w:pStyle w:val="BodytextIndented"/>
              <w:numPr>
                <w:ilvl w:val="0"/>
                <w:numId w:val="21"/>
              </w:numPr>
              <w:ind w:left="317" w:hanging="317"/>
              <w:rPr>
                <w:lang w:val="en-GB"/>
              </w:rPr>
            </w:pPr>
            <w:r>
              <w:rPr>
                <w:lang w:val="en-GB"/>
              </w:rPr>
              <w:t>Since 2001 (last 20 years), etc. except Since 2015</w:t>
            </w:r>
          </w:p>
          <w:p w14:paraId="5A29DDD9" w14:textId="77777777" w:rsidR="00701781" w:rsidRPr="007D224F" w:rsidRDefault="00701781" w:rsidP="00701781">
            <w:pPr>
              <w:pStyle w:val="BodytextIndented"/>
              <w:numPr>
                <w:ilvl w:val="0"/>
                <w:numId w:val="21"/>
              </w:numPr>
              <w:ind w:left="317" w:hanging="317"/>
              <w:rPr>
                <w:lang w:val="en-GB"/>
              </w:rPr>
            </w:pPr>
            <w:r>
              <w:rPr>
                <w:lang w:val="en-GB"/>
              </w:rPr>
              <w:t>Reports – Research, Books</w:t>
            </w:r>
          </w:p>
          <w:p w14:paraId="1330B29D" w14:textId="77777777" w:rsidR="00701781" w:rsidRPr="007D224F" w:rsidRDefault="00701781" w:rsidP="00701781">
            <w:pPr>
              <w:pStyle w:val="BodytextIndented"/>
              <w:numPr>
                <w:ilvl w:val="0"/>
                <w:numId w:val="21"/>
              </w:numPr>
              <w:ind w:left="317" w:hanging="317"/>
              <w:rPr>
                <w:lang w:val="en-GB"/>
              </w:rPr>
            </w:pPr>
            <w:r>
              <w:rPr>
                <w:lang w:val="en-GB"/>
              </w:rPr>
              <w:t xml:space="preserve">Another Descriptor, except </w:t>
            </w:r>
            <w:r w:rsidRPr="007D224F">
              <w:rPr>
                <w:lang w:val="en-GB"/>
              </w:rPr>
              <w:t>Academic Achievement</w:t>
            </w:r>
          </w:p>
          <w:p w14:paraId="4E40F046" w14:textId="77777777" w:rsidR="00701781" w:rsidRDefault="00701781" w:rsidP="00701781">
            <w:pPr>
              <w:pStyle w:val="BodytextIndented"/>
              <w:numPr>
                <w:ilvl w:val="0"/>
                <w:numId w:val="21"/>
              </w:numPr>
              <w:ind w:left="317" w:hanging="317"/>
              <w:rPr>
                <w:b/>
                <w:lang w:val="en-GB"/>
              </w:rPr>
            </w:pPr>
            <w:r>
              <w:rPr>
                <w:lang w:val="en-GB"/>
              </w:rPr>
              <w:t xml:space="preserve">Another Education Level, except </w:t>
            </w:r>
            <w:r w:rsidRPr="007D224F">
              <w:rPr>
                <w:lang w:val="en-GB"/>
              </w:rPr>
              <w:t>Higher Education</w:t>
            </w:r>
            <w:r>
              <w:rPr>
                <w:lang w:val="en-GB"/>
              </w:rPr>
              <w:t xml:space="preserve"> and High Schools</w:t>
            </w:r>
          </w:p>
        </w:tc>
      </w:tr>
      <w:tr w:rsidR="00701781" w:rsidRPr="00CE57CF" w14:paraId="7200BE97" w14:textId="77777777" w:rsidTr="007B4145">
        <w:trPr>
          <w:cantSplit/>
          <w:jc w:val="center"/>
        </w:trPr>
        <w:tc>
          <w:tcPr>
            <w:tcW w:w="393" w:type="dxa"/>
            <w:tcBorders>
              <w:bottom w:val="single" w:sz="4" w:space="0" w:color="auto"/>
            </w:tcBorders>
            <w:shd w:val="clear" w:color="auto" w:fill="auto"/>
            <w:tcMar>
              <w:left w:w="0" w:type="dxa"/>
              <w:right w:w="0" w:type="dxa"/>
            </w:tcMar>
          </w:tcPr>
          <w:p w14:paraId="5D689F90" w14:textId="77777777" w:rsidR="00701781" w:rsidRPr="00CE57CF" w:rsidRDefault="00701781" w:rsidP="00A30CE0">
            <w:pPr>
              <w:tabs>
                <w:tab w:val="left" w:pos="567"/>
              </w:tabs>
              <w:spacing w:before="40" w:after="40"/>
              <w:ind w:left="28"/>
              <w:jc w:val="center"/>
              <w:rPr>
                <w:rFonts w:ascii="Times New Roman" w:hAnsi="Times New Roman"/>
                <w:color w:val="000000"/>
                <w:szCs w:val="22"/>
              </w:rPr>
            </w:pPr>
          </w:p>
        </w:tc>
        <w:tc>
          <w:tcPr>
            <w:tcW w:w="1592" w:type="dxa"/>
            <w:tcBorders>
              <w:bottom w:val="single" w:sz="4" w:space="0" w:color="auto"/>
            </w:tcBorders>
          </w:tcPr>
          <w:p w14:paraId="11BE39FF" w14:textId="77777777" w:rsidR="00701781" w:rsidRPr="00CE57CF" w:rsidRDefault="00701781" w:rsidP="00A30CE0">
            <w:pPr>
              <w:tabs>
                <w:tab w:val="left" w:pos="567"/>
              </w:tabs>
              <w:spacing w:before="40" w:after="40"/>
              <w:rPr>
                <w:rFonts w:ascii="Times New Roman" w:hAnsi="Times New Roman"/>
                <w:color w:val="000000"/>
                <w:szCs w:val="22"/>
              </w:rPr>
            </w:pPr>
          </w:p>
        </w:tc>
        <w:tc>
          <w:tcPr>
            <w:tcW w:w="6662" w:type="dxa"/>
            <w:tcBorders>
              <w:bottom w:val="single" w:sz="4" w:space="0" w:color="auto"/>
            </w:tcBorders>
            <w:shd w:val="clear" w:color="auto" w:fill="auto"/>
            <w:tcMar>
              <w:left w:w="0" w:type="dxa"/>
              <w:right w:w="0" w:type="dxa"/>
            </w:tcMar>
          </w:tcPr>
          <w:p w14:paraId="49C3A794" w14:textId="77777777" w:rsidR="00701781" w:rsidRPr="00CE57CF" w:rsidRDefault="00701781" w:rsidP="00A30CE0">
            <w:pPr>
              <w:tabs>
                <w:tab w:val="left" w:pos="567"/>
              </w:tabs>
              <w:spacing w:before="40" w:after="40"/>
              <w:rPr>
                <w:rFonts w:ascii="Times New Roman" w:hAnsi="Times New Roman"/>
                <w:color w:val="000000"/>
                <w:szCs w:val="22"/>
              </w:rPr>
            </w:pPr>
          </w:p>
        </w:tc>
      </w:tr>
    </w:tbl>
    <w:p w14:paraId="219CA14A" w14:textId="77777777" w:rsidR="00701781" w:rsidRDefault="00701781" w:rsidP="00213432">
      <w:pPr>
        <w:pStyle w:val="BodytextIndented"/>
        <w:rPr>
          <w:lang w:val="en-GB"/>
        </w:rPr>
      </w:pPr>
    </w:p>
    <w:p w14:paraId="10E4663B" w14:textId="77777777" w:rsidR="00A26B3E" w:rsidRDefault="00A26B3E" w:rsidP="001F41CE">
      <w:pPr>
        <w:pStyle w:val="BodytextIndented"/>
        <w:rPr>
          <w:lang w:val="en-GB"/>
        </w:rPr>
      </w:pPr>
      <w:r>
        <w:rPr>
          <w:lang w:val="en-GB"/>
        </w:rPr>
        <w:t xml:space="preserve">Pada prinsipnya, inklusi maupun eksklusi secara umum dan spesifik memiliki perbedaan dalam ruang lingkup. </w:t>
      </w:r>
      <w:r w:rsidR="00D842F5">
        <w:rPr>
          <w:lang w:val="en-GB"/>
        </w:rPr>
        <w:t xml:space="preserve">Ruang lingkup yang secara spesifik mengacu pada </w:t>
      </w:r>
      <w:r w:rsidR="00D842F5" w:rsidRPr="00D842F5">
        <w:rPr>
          <w:i/>
          <w:lang w:val="en-GB"/>
        </w:rPr>
        <w:t>filter</w:t>
      </w:r>
      <w:r w:rsidR="00D842F5">
        <w:rPr>
          <w:i/>
          <w:lang w:val="en-GB"/>
        </w:rPr>
        <w:t xml:space="preserve"> </w:t>
      </w:r>
      <w:r w:rsidR="00D842F5" w:rsidRPr="00D95EAB">
        <w:rPr>
          <w:lang w:val="en-GB"/>
        </w:rPr>
        <w:t>pencarian</w:t>
      </w:r>
      <w:r w:rsidR="00D842F5">
        <w:rPr>
          <w:lang w:val="en-GB"/>
        </w:rPr>
        <w:t xml:space="preserve"> di situs publishers. </w:t>
      </w:r>
      <w:r w:rsidR="006C6AFA">
        <w:rPr>
          <w:lang w:val="en-GB"/>
        </w:rPr>
        <w:t>Sedangkan, ruang lingkup secara umum merupakan pembatasan artik</w:t>
      </w:r>
      <w:r w:rsidR="00D95EAB">
        <w:rPr>
          <w:lang w:val="en-GB"/>
        </w:rPr>
        <w:t xml:space="preserve">el yang diperoleh </w:t>
      </w:r>
      <w:r w:rsidR="006C6AFA">
        <w:rPr>
          <w:lang w:val="en-GB"/>
        </w:rPr>
        <w:t xml:space="preserve">tanpa ada kaitannya dengan </w:t>
      </w:r>
      <w:r w:rsidR="006C6AFA" w:rsidRPr="00D95EAB">
        <w:rPr>
          <w:i/>
          <w:lang w:val="en-GB"/>
        </w:rPr>
        <w:t>filter</w:t>
      </w:r>
      <w:r w:rsidR="006C6AFA">
        <w:rPr>
          <w:lang w:val="en-GB"/>
        </w:rPr>
        <w:t xml:space="preserve"> pencarian di masing-masing publishernya.</w:t>
      </w:r>
    </w:p>
    <w:p w14:paraId="2532B0D0" w14:textId="77777777" w:rsidR="007C1768" w:rsidRDefault="0011511F" w:rsidP="001F41CE">
      <w:pPr>
        <w:pStyle w:val="BodytextIndented"/>
        <w:rPr>
          <w:lang w:val="en-GB"/>
        </w:rPr>
      </w:pPr>
      <w:r>
        <w:rPr>
          <w:lang w:val="en-GB"/>
        </w:rPr>
        <w:t xml:space="preserve">Berdasarkan kata kunci pencarian yang ditetapkan, penulis merinci setiap artikel yang diperoleh </w:t>
      </w:r>
      <w:r w:rsidR="003D1AFB">
        <w:rPr>
          <w:lang w:val="en-GB"/>
        </w:rPr>
        <w:t>dengan</w:t>
      </w:r>
      <w:r>
        <w:rPr>
          <w:lang w:val="en-GB"/>
        </w:rPr>
        <w:t xml:space="preserve"> empat aspek, yaitu total artikel yang ditemukan,</w:t>
      </w:r>
      <w:r w:rsidR="006B670D">
        <w:rPr>
          <w:lang w:val="en-GB"/>
        </w:rPr>
        <w:t xml:space="preserve"> total artikel yang</w:t>
      </w:r>
      <w:r>
        <w:rPr>
          <w:lang w:val="en-GB"/>
        </w:rPr>
        <w:t xml:space="preserve"> diunduh, </w:t>
      </w:r>
      <w:r w:rsidR="006B670D">
        <w:rPr>
          <w:lang w:val="en-GB"/>
        </w:rPr>
        <w:t xml:space="preserve">total artikel yang </w:t>
      </w:r>
      <w:r>
        <w:rPr>
          <w:lang w:val="en-GB"/>
        </w:rPr>
        <w:t xml:space="preserve">diseleksi, dan </w:t>
      </w:r>
      <w:r w:rsidR="006B670D">
        <w:rPr>
          <w:lang w:val="en-GB"/>
        </w:rPr>
        <w:t xml:space="preserve">total artikel yang </w:t>
      </w:r>
      <w:r>
        <w:rPr>
          <w:lang w:val="en-GB"/>
        </w:rPr>
        <w:t xml:space="preserve">diambil. </w:t>
      </w:r>
      <w:r w:rsidR="009F1012">
        <w:rPr>
          <w:lang w:val="en-GB"/>
        </w:rPr>
        <w:t xml:space="preserve">Penulis </w:t>
      </w:r>
      <w:r w:rsidR="00CD0D3B">
        <w:rPr>
          <w:lang w:val="en-GB"/>
        </w:rPr>
        <w:t xml:space="preserve">mengunduh setiap artikel </w:t>
      </w:r>
      <w:r w:rsidR="006B670D">
        <w:rPr>
          <w:lang w:val="en-GB"/>
        </w:rPr>
        <w:t xml:space="preserve">yang </w:t>
      </w:r>
      <w:r w:rsidR="00E447AB">
        <w:rPr>
          <w:lang w:val="en-GB"/>
        </w:rPr>
        <w:t xml:space="preserve">sekiranya </w:t>
      </w:r>
      <w:r w:rsidR="00ED512D">
        <w:rPr>
          <w:lang w:val="en-GB"/>
        </w:rPr>
        <w:t>memiliki tingkat signifikansi tinggi terhadap pendidikan teknik dan pembelajaran mesin</w:t>
      </w:r>
      <w:r>
        <w:rPr>
          <w:lang w:val="en-GB"/>
        </w:rPr>
        <w:t>.</w:t>
      </w:r>
    </w:p>
    <w:p w14:paraId="24B5EB10" w14:textId="77777777" w:rsidR="007C1768" w:rsidRDefault="007C1768" w:rsidP="0011511F">
      <w:pPr>
        <w:pStyle w:val="BodytextIndented"/>
        <w:tabs>
          <w:tab w:val="center" w:pos="4677"/>
        </w:tabs>
        <w:rPr>
          <w:lang w:val="en-GB"/>
        </w:rPr>
      </w:pPr>
      <w:r>
        <w:rPr>
          <w:lang w:val="en-GB"/>
        </w:rPr>
        <w:t xml:space="preserve"> </w:t>
      </w:r>
      <w:r w:rsidR="0011511F">
        <w:rPr>
          <w:lang w:val="en-GB"/>
        </w:rPr>
        <w:tab/>
      </w:r>
    </w:p>
    <w:p w14:paraId="720793EF" w14:textId="77777777" w:rsidR="002F7406" w:rsidRPr="00CE57CF" w:rsidRDefault="002F7406" w:rsidP="002F7406">
      <w:pPr>
        <w:pStyle w:val="TableCaptionCentred"/>
        <w:ind w:left="28"/>
        <w:rPr>
          <w:rFonts w:ascii="Times New Roman" w:hAnsi="Times New Roman"/>
        </w:rPr>
      </w:pPr>
      <w:r>
        <w:rPr>
          <w:rFonts w:ascii="Times New Roman" w:hAnsi="Times New Roman"/>
          <w:b/>
        </w:rPr>
        <w:lastRenderedPageBreak/>
        <w:t>Table 5</w:t>
      </w:r>
      <w:r w:rsidRPr="00CE57CF">
        <w:rPr>
          <w:rFonts w:ascii="Times New Roman" w:hAnsi="Times New Roman"/>
          <w:b/>
        </w:rPr>
        <w:t>.</w:t>
      </w:r>
      <w:r>
        <w:rPr>
          <w:rFonts w:ascii="Times New Roman" w:hAnsi="Times New Roman"/>
        </w:rPr>
        <w:t xml:space="preserve"> </w:t>
      </w:r>
      <w:r w:rsidR="00EB12BD">
        <w:rPr>
          <w:rFonts w:ascii="Times New Roman" w:hAnsi="Times New Roman"/>
        </w:rPr>
        <w:t>Total Artikel</w:t>
      </w:r>
    </w:p>
    <w:tbl>
      <w:tblPr>
        <w:tblW w:w="0" w:type="auto"/>
        <w:jc w:val="center"/>
        <w:tblCellMar>
          <w:left w:w="0" w:type="dxa"/>
          <w:right w:w="0" w:type="dxa"/>
        </w:tblCellMar>
        <w:tblLook w:val="01E0" w:firstRow="1" w:lastRow="1" w:firstColumn="1" w:lastColumn="1" w:noHBand="0" w:noVBand="0"/>
      </w:tblPr>
      <w:tblGrid>
        <w:gridCol w:w="322"/>
        <w:gridCol w:w="1203"/>
        <w:gridCol w:w="1913"/>
        <w:gridCol w:w="1399"/>
        <w:gridCol w:w="1489"/>
        <w:gridCol w:w="1489"/>
        <w:gridCol w:w="1256"/>
      </w:tblGrid>
      <w:tr w:rsidR="004D45A4" w:rsidRPr="00CE57CF" w14:paraId="52F1D684" w14:textId="77777777" w:rsidTr="004D45A4">
        <w:trPr>
          <w:cantSplit/>
          <w:jc w:val="center"/>
        </w:trPr>
        <w:tc>
          <w:tcPr>
            <w:tcW w:w="322" w:type="dxa"/>
            <w:tcBorders>
              <w:top w:val="single" w:sz="6" w:space="0" w:color="auto"/>
              <w:bottom w:val="single" w:sz="4" w:space="0" w:color="auto"/>
            </w:tcBorders>
            <w:shd w:val="clear" w:color="auto" w:fill="auto"/>
            <w:tcMar>
              <w:left w:w="0" w:type="dxa"/>
              <w:right w:w="0" w:type="dxa"/>
            </w:tcMar>
          </w:tcPr>
          <w:p w14:paraId="27C330D6" w14:textId="77777777" w:rsidR="004D45A4" w:rsidRPr="00F77539" w:rsidRDefault="004D45A4" w:rsidP="00A30CE0">
            <w:pPr>
              <w:tabs>
                <w:tab w:val="left" w:pos="567"/>
              </w:tabs>
              <w:spacing w:before="40" w:after="40"/>
              <w:ind w:left="28"/>
              <w:rPr>
                <w:rFonts w:ascii="Times New Roman" w:hAnsi="Times New Roman"/>
                <w:b/>
                <w:color w:val="000000"/>
                <w:szCs w:val="22"/>
              </w:rPr>
            </w:pPr>
            <w:r w:rsidRPr="00F77539">
              <w:rPr>
                <w:rFonts w:ascii="Times New Roman" w:hAnsi="Times New Roman"/>
                <w:b/>
                <w:color w:val="000000"/>
                <w:szCs w:val="22"/>
              </w:rPr>
              <w:t>No</w:t>
            </w:r>
          </w:p>
        </w:tc>
        <w:tc>
          <w:tcPr>
            <w:tcW w:w="1203" w:type="dxa"/>
            <w:tcBorders>
              <w:top w:val="single" w:sz="6" w:space="0" w:color="auto"/>
              <w:bottom w:val="single" w:sz="4" w:space="0" w:color="auto"/>
            </w:tcBorders>
          </w:tcPr>
          <w:p w14:paraId="063542B5" w14:textId="77777777" w:rsidR="004D45A4" w:rsidRPr="00F77539" w:rsidRDefault="004D45A4" w:rsidP="00A30CE0">
            <w:pPr>
              <w:tabs>
                <w:tab w:val="left" w:pos="567"/>
                <w:tab w:val="left" w:pos="2460"/>
                <w:tab w:val="center" w:pos="2778"/>
              </w:tabs>
              <w:spacing w:before="40" w:after="40"/>
              <w:ind w:left="28"/>
              <w:rPr>
                <w:rFonts w:ascii="Times New Roman" w:hAnsi="Times New Roman"/>
                <w:b/>
                <w:color w:val="000000"/>
                <w:szCs w:val="22"/>
              </w:rPr>
            </w:pPr>
            <w:r>
              <w:rPr>
                <w:rFonts w:ascii="Times New Roman" w:hAnsi="Times New Roman"/>
                <w:b/>
                <w:color w:val="000000"/>
                <w:szCs w:val="22"/>
              </w:rPr>
              <w:t>KataKunci</w:t>
            </w:r>
          </w:p>
        </w:tc>
        <w:tc>
          <w:tcPr>
            <w:tcW w:w="1913" w:type="dxa"/>
            <w:tcBorders>
              <w:top w:val="single" w:sz="6" w:space="0" w:color="auto"/>
              <w:bottom w:val="single" w:sz="4" w:space="0" w:color="auto"/>
            </w:tcBorders>
            <w:shd w:val="clear" w:color="auto" w:fill="auto"/>
            <w:tcMar>
              <w:left w:w="0" w:type="dxa"/>
              <w:right w:w="0" w:type="dxa"/>
            </w:tcMar>
          </w:tcPr>
          <w:p w14:paraId="444CDFBD" w14:textId="77777777" w:rsidR="004D45A4" w:rsidRPr="00F77539" w:rsidRDefault="004D45A4" w:rsidP="00A30CE0">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Database Artikel</w:t>
            </w:r>
          </w:p>
        </w:tc>
        <w:tc>
          <w:tcPr>
            <w:tcW w:w="1399" w:type="dxa"/>
            <w:tcBorders>
              <w:top w:val="single" w:sz="6" w:space="0" w:color="auto"/>
              <w:bottom w:val="single" w:sz="4" w:space="0" w:color="auto"/>
            </w:tcBorders>
          </w:tcPr>
          <w:p w14:paraId="54302229" w14:textId="77777777" w:rsidR="004D45A4" w:rsidRDefault="004D45A4" w:rsidP="00A30CE0">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Total</w:t>
            </w:r>
          </w:p>
        </w:tc>
        <w:tc>
          <w:tcPr>
            <w:tcW w:w="1489" w:type="dxa"/>
            <w:tcBorders>
              <w:top w:val="single" w:sz="6" w:space="0" w:color="auto"/>
              <w:bottom w:val="single" w:sz="4" w:space="0" w:color="auto"/>
            </w:tcBorders>
          </w:tcPr>
          <w:p w14:paraId="559B6A31" w14:textId="77777777" w:rsidR="004D45A4" w:rsidRDefault="004D45A4" w:rsidP="00A30CE0">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Diunduh</w:t>
            </w:r>
          </w:p>
        </w:tc>
        <w:tc>
          <w:tcPr>
            <w:tcW w:w="1489" w:type="dxa"/>
            <w:tcBorders>
              <w:top w:val="single" w:sz="6" w:space="0" w:color="auto"/>
              <w:bottom w:val="single" w:sz="4" w:space="0" w:color="auto"/>
            </w:tcBorders>
          </w:tcPr>
          <w:p w14:paraId="4645B7D6" w14:textId="77777777" w:rsidR="004D45A4" w:rsidRDefault="004D45A4" w:rsidP="00A30CE0">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Diseleksi</w:t>
            </w:r>
          </w:p>
        </w:tc>
        <w:tc>
          <w:tcPr>
            <w:tcW w:w="1256" w:type="dxa"/>
            <w:tcBorders>
              <w:top w:val="single" w:sz="6" w:space="0" w:color="auto"/>
              <w:bottom w:val="single" w:sz="4" w:space="0" w:color="auto"/>
            </w:tcBorders>
          </w:tcPr>
          <w:p w14:paraId="7BAA6501" w14:textId="77777777" w:rsidR="004D45A4" w:rsidRDefault="004D45A4" w:rsidP="00A30CE0">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Diambil</w:t>
            </w:r>
          </w:p>
        </w:tc>
      </w:tr>
      <w:tr w:rsidR="004D45A4" w:rsidRPr="00CE57CF" w14:paraId="1C69CA5F" w14:textId="77777777" w:rsidTr="004D45A4">
        <w:trPr>
          <w:cantSplit/>
          <w:jc w:val="center"/>
        </w:trPr>
        <w:tc>
          <w:tcPr>
            <w:tcW w:w="322" w:type="dxa"/>
            <w:tcBorders>
              <w:top w:val="single" w:sz="4" w:space="0" w:color="auto"/>
            </w:tcBorders>
            <w:shd w:val="clear" w:color="auto" w:fill="auto"/>
            <w:tcMar>
              <w:left w:w="0" w:type="dxa"/>
              <w:right w:w="0" w:type="dxa"/>
            </w:tcMar>
          </w:tcPr>
          <w:p w14:paraId="22BF693C" w14:textId="77777777" w:rsidR="004D45A4" w:rsidRDefault="004D45A4" w:rsidP="004D45A4">
            <w:pPr>
              <w:pStyle w:val="BodytextIndented"/>
              <w:ind w:firstLine="0"/>
              <w:jc w:val="center"/>
              <w:rPr>
                <w:lang w:val="en-GB"/>
              </w:rPr>
            </w:pPr>
            <w:r>
              <w:rPr>
                <w:lang w:val="en-GB"/>
              </w:rPr>
              <w:t>1</w:t>
            </w:r>
          </w:p>
        </w:tc>
        <w:tc>
          <w:tcPr>
            <w:tcW w:w="1203" w:type="dxa"/>
            <w:tcBorders>
              <w:top w:val="single" w:sz="4" w:space="0" w:color="auto"/>
            </w:tcBorders>
          </w:tcPr>
          <w:p w14:paraId="2434F020" w14:textId="77777777" w:rsidR="004D45A4" w:rsidRDefault="004D45A4" w:rsidP="009B5433">
            <w:pPr>
              <w:pStyle w:val="BodytextIndented"/>
              <w:ind w:firstLine="0"/>
              <w:rPr>
                <w:lang w:val="en-GB"/>
              </w:rPr>
            </w:pPr>
            <w:r w:rsidRPr="00A74418">
              <w:rPr>
                <w:i/>
                <w:lang w:val="en-GB"/>
              </w:rPr>
              <w:t>prediction student</w:t>
            </w:r>
          </w:p>
        </w:tc>
        <w:tc>
          <w:tcPr>
            <w:tcW w:w="1913" w:type="dxa"/>
            <w:tcBorders>
              <w:top w:val="single" w:sz="4" w:space="0" w:color="auto"/>
            </w:tcBorders>
            <w:shd w:val="clear" w:color="auto" w:fill="auto"/>
            <w:tcMar>
              <w:left w:w="0" w:type="dxa"/>
              <w:right w:w="0" w:type="dxa"/>
            </w:tcMar>
          </w:tcPr>
          <w:p w14:paraId="1DECC07D" w14:textId="77777777" w:rsidR="004D45A4" w:rsidRPr="007C0353" w:rsidRDefault="004D45A4" w:rsidP="004D45A4">
            <w:pPr>
              <w:pStyle w:val="BodytextIndented"/>
              <w:ind w:firstLine="0"/>
              <w:rPr>
                <w:lang w:val="en-GB"/>
              </w:rPr>
            </w:pPr>
            <w:r w:rsidRPr="007C0353">
              <w:rPr>
                <w:lang w:val="en-GB"/>
              </w:rPr>
              <w:t>IEEEXplore</w:t>
            </w:r>
          </w:p>
        </w:tc>
        <w:tc>
          <w:tcPr>
            <w:tcW w:w="1399" w:type="dxa"/>
            <w:tcBorders>
              <w:top w:val="single" w:sz="4" w:space="0" w:color="auto"/>
            </w:tcBorders>
          </w:tcPr>
          <w:p w14:paraId="1EA12C1E" w14:textId="77777777" w:rsidR="004D45A4" w:rsidRDefault="004D45A4" w:rsidP="004D45A4">
            <w:pPr>
              <w:pStyle w:val="BodytextIndented"/>
              <w:ind w:firstLine="0"/>
              <w:jc w:val="center"/>
              <w:rPr>
                <w:lang w:val="en-GB"/>
              </w:rPr>
            </w:pPr>
            <w:r>
              <w:rPr>
                <w:lang w:val="en-GB"/>
              </w:rPr>
              <w:t>115</w:t>
            </w:r>
          </w:p>
        </w:tc>
        <w:tc>
          <w:tcPr>
            <w:tcW w:w="1489" w:type="dxa"/>
            <w:tcBorders>
              <w:top w:val="single" w:sz="4" w:space="0" w:color="auto"/>
            </w:tcBorders>
          </w:tcPr>
          <w:p w14:paraId="282630EC" w14:textId="77777777" w:rsidR="004D45A4" w:rsidRDefault="004D45A4" w:rsidP="004D45A4">
            <w:pPr>
              <w:pStyle w:val="BodytextIndented"/>
              <w:ind w:firstLine="0"/>
              <w:jc w:val="center"/>
              <w:rPr>
                <w:lang w:val="en-GB"/>
              </w:rPr>
            </w:pPr>
            <w:r>
              <w:rPr>
                <w:lang w:val="en-GB"/>
              </w:rPr>
              <w:t>25</w:t>
            </w:r>
          </w:p>
        </w:tc>
        <w:tc>
          <w:tcPr>
            <w:tcW w:w="1489" w:type="dxa"/>
            <w:tcBorders>
              <w:top w:val="single" w:sz="4" w:space="0" w:color="auto"/>
            </w:tcBorders>
          </w:tcPr>
          <w:p w14:paraId="5C2FA626" w14:textId="77777777" w:rsidR="004D45A4" w:rsidRDefault="004D45A4" w:rsidP="004D45A4">
            <w:pPr>
              <w:pStyle w:val="BodytextIndented"/>
              <w:ind w:firstLine="0"/>
              <w:jc w:val="center"/>
              <w:rPr>
                <w:lang w:val="en-GB"/>
              </w:rPr>
            </w:pPr>
            <w:r>
              <w:rPr>
                <w:lang w:val="en-GB"/>
              </w:rPr>
              <w:t>21</w:t>
            </w:r>
          </w:p>
        </w:tc>
        <w:tc>
          <w:tcPr>
            <w:tcW w:w="1256" w:type="dxa"/>
            <w:tcBorders>
              <w:top w:val="single" w:sz="4" w:space="0" w:color="auto"/>
            </w:tcBorders>
          </w:tcPr>
          <w:p w14:paraId="2B05E688" w14:textId="77777777" w:rsidR="004D45A4" w:rsidRDefault="004D45A4" w:rsidP="004D45A4">
            <w:pPr>
              <w:pStyle w:val="BodytextIndented"/>
              <w:ind w:firstLine="0"/>
              <w:jc w:val="center"/>
              <w:rPr>
                <w:lang w:val="en-GB"/>
              </w:rPr>
            </w:pPr>
            <w:r>
              <w:rPr>
                <w:lang w:val="en-GB"/>
              </w:rPr>
              <w:t>4</w:t>
            </w:r>
          </w:p>
        </w:tc>
      </w:tr>
      <w:tr w:rsidR="004D45A4" w:rsidRPr="00CE57CF" w14:paraId="01FE5DE8" w14:textId="77777777" w:rsidTr="004D45A4">
        <w:trPr>
          <w:cantSplit/>
          <w:jc w:val="center"/>
        </w:trPr>
        <w:tc>
          <w:tcPr>
            <w:tcW w:w="322" w:type="dxa"/>
            <w:shd w:val="clear" w:color="auto" w:fill="auto"/>
            <w:tcMar>
              <w:left w:w="0" w:type="dxa"/>
              <w:right w:w="0" w:type="dxa"/>
            </w:tcMar>
          </w:tcPr>
          <w:p w14:paraId="2185659F" w14:textId="77777777" w:rsidR="004D45A4" w:rsidRDefault="004D45A4" w:rsidP="004D45A4">
            <w:pPr>
              <w:pStyle w:val="BodytextIndented"/>
              <w:ind w:firstLine="0"/>
              <w:jc w:val="center"/>
              <w:rPr>
                <w:lang w:val="en-GB"/>
              </w:rPr>
            </w:pPr>
          </w:p>
        </w:tc>
        <w:tc>
          <w:tcPr>
            <w:tcW w:w="1203" w:type="dxa"/>
          </w:tcPr>
          <w:p w14:paraId="159846B4"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0DDD14E0" w14:textId="77777777" w:rsidR="004D45A4" w:rsidRDefault="004D45A4" w:rsidP="004D45A4">
            <w:pPr>
              <w:pStyle w:val="BodytextIndented"/>
              <w:ind w:firstLine="0"/>
              <w:rPr>
                <w:lang w:val="en-GB"/>
              </w:rPr>
            </w:pPr>
            <w:r>
              <w:rPr>
                <w:lang w:val="en-GB"/>
              </w:rPr>
              <w:t>Springer Link</w:t>
            </w:r>
          </w:p>
        </w:tc>
        <w:tc>
          <w:tcPr>
            <w:tcW w:w="1399" w:type="dxa"/>
          </w:tcPr>
          <w:p w14:paraId="757692AA" w14:textId="77777777" w:rsidR="004D45A4" w:rsidRDefault="004D45A4" w:rsidP="004D45A4">
            <w:pPr>
              <w:pStyle w:val="BodytextIndented"/>
              <w:ind w:firstLine="0"/>
              <w:jc w:val="center"/>
              <w:rPr>
                <w:lang w:val="en-GB"/>
              </w:rPr>
            </w:pPr>
            <w:r>
              <w:rPr>
                <w:lang w:val="en-GB"/>
              </w:rPr>
              <w:t>109</w:t>
            </w:r>
          </w:p>
        </w:tc>
        <w:tc>
          <w:tcPr>
            <w:tcW w:w="1489" w:type="dxa"/>
          </w:tcPr>
          <w:p w14:paraId="60E573EC" w14:textId="77777777" w:rsidR="004D45A4" w:rsidRDefault="004D45A4" w:rsidP="004D45A4">
            <w:pPr>
              <w:pStyle w:val="BodytextIndented"/>
              <w:ind w:firstLine="0"/>
              <w:jc w:val="center"/>
              <w:rPr>
                <w:lang w:val="en-GB"/>
              </w:rPr>
            </w:pPr>
            <w:r>
              <w:rPr>
                <w:lang w:val="en-GB"/>
              </w:rPr>
              <w:t>30</w:t>
            </w:r>
          </w:p>
        </w:tc>
        <w:tc>
          <w:tcPr>
            <w:tcW w:w="1489" w:type="dxa"/>
          </w:tcPr>
          <w:p w14:paraId="5D9D21CA" w14:textId="77777777" w:rsidR="004D45A4" w:rsidRDefault="004D45A4" w:rsidP="004D45A4">
            <w:pPr>
              <w:pStyle w:val="BodytextIndented"/>
              <w:ind w:firstLine="0"/>
              <w:jc w:val="center"/>
              <w:rPr>
                <w:lang w:val="en-GB"/>
              </w:rPr>
            </w:pPr>
            <w:r>
              <w:rPr>
                <w:lang w:val="en-GB"/>
              </w:rPr>
              <w:t>28</w:t>
            </w:r>
          </w:p>
        </w:tc>
        <w:tc>
          <w:tcPr>
            <w:tcW w:w="1256" w:type="dxa"/>
          </w:tcPr>
          <w:p w14:paraId="7026224A" w14:textId="77777777" w:rsidR="004D45A4" w:rsidRDefault="004D45A4" w:rsidP="004D45A4">
            <w:pPr>
              <w:pStyle w:val="BodytextIndented"/>
              <w:ind w:firstLine="0"/>
              <w:jc w:val="center"/>
              <w:rPr>
                <w:lang w:val="en-GB"/>
              </w:rPr>
            </w:pPr>
            <w:r>
              <w:rPr>
                <w:lang w:val="en-GB"/>
              </w:rPr>
              <w:t>2</w:t>
            </w:r>
          </w:p>
        </w:tc>
      </w:tr>
      <w:tr w:rsidR="004D45A4" w:rsidRPr="00CE57CF" w14:paraId="19EC9038" w14:textId="77777777" w:rsidTr="004D45A4">
        <w:trPr>
          <w:cantSplit/>
          <w:jc w:val="center"/>
        </w:trPr>
        <w:tc>
          <w:tcPr>
            <w:tcW w:w="322" w:type="dxa"/>
            <w:shd w:val="clear" w:color="auto" w:fill="auto"/>
            <w:tcMar>
              <w:left w:w="0" w:type="dxa"/>
              <w:right w:w="0" w:type="dxa"/>
            </w:tcMar>
          </w:tcPr>
          <w:p w14:paraId="16654BD9" w14:textId="77777777" w:rsidR="004D45A4" w:rsidRDefault="004D45A4" w:rsidP="004D45A4">
            <w:pPr>
              <w:pStyle w:val="BodytextIndented"/>
              <w:ind w:firstLine="0"/>
              <w:jc w:val="center"/>
              <w:rPr>
                <w:lang w:val="en-GB"/>
              </w:rPr>
            </w:pPr>
            <w:r>
              <w:rPr>
                <w:lang w:val="en-GB"/>
              </w:rPr>
              <w:t>2</w:t>
            </w:r>
          </w:p>
        </w:tc>
        <w:tc>
          <w:tcPr>
            <w:tcW w:w="1203" w:type="dxa"/>
          </w:tcPr>
          <w:p w14:paraId="471B9103" w14:textId="77777777" w:rsidR="004D45A4" w:rsidRDefault="004D45A4" w:rsidP="009B5433">
            <w:pPr>
              <w:pStyle w:val="BodytextIndented"/>
              <w:ind w:firstLine="0"/>
              <w:rPr>
                <w:lang w:val="en-GB"/>
              </w:rPr>
            </w:pPr>
            <w:r w:rsidRPr="00A74418">
              <w:rPr>
                <w:i/>
                <w:lang w:val="en-GB"/>
              </w:rPr>
              <w:t>student achievement</w:t>
            </w:r>
          </w:p>
        </w:tc>
        <w:tc>
          <w:tcPr>
            <w:tcW w:w="1913" w:type="dxa"/>
            <w:shd w:val="clear" w:color="auto" w:fill="auto"/>
            <w:tcMar>
              <w:left w:w="0" w:type="dxa"/>
              <w:right w:w="0" w:type="dxa"/>
            </w:tcMar>
          </w:tcPr>
          <w:p w14:paraId="0796EE05" w14:textId="77777777" w:rsidR="004D45A4" w:rsidRDefault="004D45A4" w:rsidP="004D45A4">
            <w:pPr>
              <w:pStyle w:val="BodytextIndented"/>
              <w:ind w:firstLine="0"/>
              <w:rPr>
                <w:lang w:val="en-GB"/>
              </w:rPr>
            </w:pPr>
            <w:r w:rsidRPr="007C0353">
              <w:rPr>
                <w:lang w:val="en-GB"/>
              </w:rPr>
              <w:t>IEEEXplore</w:t>
            </w:r>
          </w:p>
        </w:tc>
        <w:tc>
          <w:tcPr>
            <w:tcW w:w="1399" w:type="dxa"/>
          </w:tcPr>
          <w:p w14:paraId="4435E5B2" w14:textId="77777777" w:rsidR="004D45A4" w:rsidRDefault="004D45A4" w:rsidP="004D45A4">
            <w:pPr>
              <w:pStyle w:val="BodytextIndented"/>
              <w:ind w:firstLine="0"/>
              <w:jc w:val="center"/>
              <w:rPr>
                <w:lang w:val="en-GB"/>
              </w:rPr>
            </w:pPr>
            <w:r>
              <w:rPr>
                <w:lang w:val="en-GB"/>
              </w:rPr>
              <w:t>45</w:t>
            </w:r>
          </w:p>
        </w:tc>
        <w:tc>
          <w:tcPr>
            <w:tcW w:w="1489" w:type="dxa"/>
          </w:tcPr>
          <w:p w14:paraId="62B9BA20" w14:textId="77777777" w:rsidR="004D45A4" w:rsidRDefault="004D45A4" w:rsidP="004D45A4">
            <w:pPr>
              <w:pStyle w:val="BodytextIndented"/>
              <w:ind w:firstLine="0"/>
              <w:jc w:val="center"/>
              <w:rPr>
                <w:lang w:val="en-GB"/>
              </w:rPr>
            </w:pPr>
            <w:r>
              <w:rPr>
                <w:lang w:val="en-GB"/>
              </w:rPr>
              <w:t>12</w:t>
            </w:r>
          </w:p>
        </w:tc>
        <w:tc>
          <w:tcPr>
            <w:tcW w:w="1489" w:type="dxa"/>
          </w:tcPr>
          <w:p w14:paraId="0A263D03" w14:textId="77777777" w:rsidR="004D45A4" w:rsidRDefault="004D45A4" w:rsidP="004D45A4">
            <w:pPr>
              <w:pStyle w:val="BodytextIndented"/>
              <w:ind w:firstLine="0"/>
              <w:jc w:val="center"/>
              <w:rPr>
                <w:lang w:val="en-GB"/>
              </w:rPr>
            </w:pPr>
            <w:r>
              <w:rPr>
                <w:lang w:val="en-GB"/>
              </w:rPr>
              <w:t>12</w:t>
            </w:r>
          </w:p>
        </w:tc>
        <w:tc>
          <w:tcPr>
            <w:tcW w:w="1256" w:type="dxa"/>
          </w:tcPr>
          <w:p w14:paraId="77FF5854" w14:textId="77777777" w:rsidR="004D45A4" w:rsidRDefault="004D45A4" w:rsidP="004D45A4">
            <w:pPr>
              <w:pStyle w:val="BodytextIndented"/>
              <w:ind w:firstLine="0"/>
              <w:jc w:val="center"/>
              <w:rPr>
                <w:lang w:val="en-GB"/>
              </w:rPr>
            </w:pPr>
            <w:r>
              <w:rPr>
                <w:lang w:val="en-GB"/>
              </w:rPr>
              <w:t>0</w:t>
            </w:r>
          </w:p>
        </w:tc>
      </w:tr>
      <w:tr w:rsidR="004D45A4" w:rsidRPr="00CE57CF" w14:paraId="5ACEB0C8" w14:textId="77777777" w:rsidTr="004D45A4">
        <w:trPr>
          <w:cantSplit/>
          <w:jc w:val="center"/>
        </w:trPr>
        <w:tc>
          <w:tcPr>
            <w:tcW w:w="322" w:type="dxa"/>
            <w:shd w:val="clear" w:color="auto" w:fill="auto"/>
            <w:tcMar>
              <w:left w:w="0" w:type="dxa"/>
              <w:right w:w="0" w:type="dxa"/>
            </w:tcMar>
          </w:tcPr>
          <w:p w14:paraId="23657802" w14:textId="77777777" w:rsidR="004D45A4" w:rsidRDefault="004D45A4" w:rsidP="004D45A4">
            <w:pPr>
              <w:pStyle w:val="BodytextIndented"/>
              <w:ind w:firstLine="0"/>
              <w:jc w:val="center"/>
              <w:rPr>
                <w:lang w:val="en-GB"/>
              </w:rPr>
            </w:pPr>
          </w:p>
        </w:tc>
        <w:tc>
          <w:tcPr>
            <w:tcW w:w="1203" w:type="dxa"/>
          </w:tcPr>
          <w:p w14:paraId="06B99908"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19307324" w14:textId="77777777" w:rsidR="004D45A4" w:rsidRDefault="004D45A4" w:rsidP="004D45A4">
            <w:pPr>
              <w:pStyle w:val="BodytextIndented"/>
              <w:ind w:firstLine="0"/>
              <w:rPr>
                <w:lang w:val="en-GB"/>
              </w:rPr>
            </w:pPr>
            <w:r>
              <w:rPr>
                <w:lang w:val="en-GB"/>
              </w:rPr>
              <w:t>Science Direct</w:t>
            </w:r>
          </w:p>
        </w:tc>
        <w:tc>
          <w:tcPr>
            <w:tcW w:w="1399" w:type="dxa"/>
          </w:tcPr>
          <w:p w14:paraId="72BDFE7F" w14:textId="77777777" w:rsidR="004D45A4" w:rsidRDefault="004D45A4" w:rsidP="004D45A4">
            <w:pPr>
              <w:pStyle w:val="BodytextIndented"/>
              <w:ind w:firstLine="0"/>
              <w:jc w:val="center"/>
              <w:rPr>
                <w:lang w:val="en-GB"/>
              </w:rPr>
            </w:pPr>
            <w:r>
              <w:rPr>
                <w:lang w:val="en-GB"/>
              </w:rPr>
              <w:t>1681</w:t>
            </w:r>
          </w:p>
        </w:tc>
        <w:tc>
          <w:tcPr>
            <w:tcW w:w="1489" w:type="dxa"/>
          </w:tcPr>
          <w:p w14:paraId="7DD946D8" w14:textId="77777777" w:rsidR="004D45A4" w:rsidRDefault="004D45A4" w:rsidP="004D45A4">
            <w:pPr>
              <w:pStyle w:val="BodytextIndented"/>
              <w:ind w:firstLine="0"/>
              <w:jc w:val="center"/>
              <w:rPr>
                <w:lang w:val="en-GB"/>
              </w:rPr>
            </w:pPr>
            <w:r>
              <w:rPr>
                <w:lang w:val="en-GB"/>
              </w:rPr>
              <w:t>7</w:t>
            </w:r>
          </w:p>
        </w:tc>
        <w:tc>
          <w:tcPr>
            <w:tcW w:w="1489" w:type="dxa"/>
          </w:tcPr>
          <w:p w14:paraId="137FBE4A" w14:textId="77777777" w:rsidR="004D45A4" w:rsidRDefault="004D45A4" w:rsidP="004D45A4">
            <w:pPr>
              <w:pStyle w:val="BodytextIndented"/>
              <w:ind w:firstLine="0"/>
              <w:jc w:val="center"/>
              <w:rPr>
                <w:lang w:val="en-GB"/>
              </w:rPr>
            </w:pPr>
            <w:r>
              <w:rPr>
                <w:lang w:val="en-GB"/>
              </w:rPr>
              <w:t>7</w:t>
            </w:r>
          </w:p>
        </w:tc>
        <w:tc>
          <w:tcPr>
            <w:tcW w:w="1256" w:type="dxa"/>
          </w:tcPr>
          <w:p w14:paraId="26B3CD10" w14:textId="77777777" w:rsidR="004D45A4" w:rsidRDefault="004D45A4" w:rsidP="004D45A4">
            <w:pPr>
              <w:pStyle w:val="BodytextIndented"/>
              <w:ind w:firstLine="0"/>
              <w:jc w:val="center"/>
              <w:rPr>
                <w:lang w:val="en-GB"/>
              </w:rPr>
            </w:pPr>
            <w:r>
              <w:rPr>
                <w:lang w:val="en-GB"/>
              </w:rPr>
              <w:t>0</w:t>
            </w:r>
          </w:p>
        </w:tc>
      </w:tr>
      <w:tr w:rsidR="004D45A4" w:rsidRPr="00CE57CF" w14:paraId="62CE8CAE" w14:textId="77777777" w:rsidTr="004D45A4">
        <w:trPr>
          <w:cantSplit/>
          <w:jc w:val="center"/>
        </w:trPr>
        <w:tc>
          <w:tcPr>
            <w:tcW w:w="322" w:type="dxa"/>
            <w:shd w:val="clear" w:color="auto" w:fill="auto"/>
            <w:tcMar>
              <w:left w:w="0" w:type="dxa"/>
              <w:right w:w="0" w:type="dxa"/>
            </w:tcMar>
          </w:tcPr>
          <w:p w14:paraId="4660DDEB" w14:textId="77777777" w:rsidR="004D45A4" w:rsidRDefault="004D45A4" w:rsidP="004D45A4">
            <w:pPr>
              <w:pStyle w:val="BodytextIndented"/>
              <w:ind w:firstLine="0"/>
              <w:jc w:val="center"/>
              <w:rPr>
                <w:lang w:val="en-GB"/>
              </w:rPr>
            </w:pPr>
          </w:p>
        </w:tc>
        <w:tc>
          <w:tcPr>
            <w:tcW w:w="1203" w:type="dxa"/>
          </w:tcPr>
          <w:p w14:paraId="0D2E647B"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47D16992" w14:textId="77777777" w:rsidR="004D45A4" w:rsidRDefault="004D45A4" w:rsidP="004D45A4">
            <w:pPr>
              <w:pStyle w:val="BodytextIndented"/>
              <w:ind w:firstLine="0"/>
              <w:rPr>
                <w:lang w:val="en-GB"/>
              </w:rPr>
            </w:pPr>
            <w:r>
              <w:rPr>
                <w:lang w:val="en-GB"/>
              </w:rPr>
              <w:t>Springer Link</w:t>
            </w:r>
          </w:p>
        </w:tc>
        <w:tc>
          <w:tcPr>
            <w:tcW w:w="1399" w:type="dxa"/>
          </w:tcPr>
          <w:p w14:paraId="47CBEA4B" w14:textId="77777777" w:rsidR="004D45A4" w:rsidRDefault="004D45A4" w:rsidP="004D45A4">
            <w:pPr>
              <w:pStyle w:val="BodytextIndented"/>
              <w:ind w:firstLine="0"/>
              <w:jc w:val="center"/>
              <w:rPr>
                <w:lang w:val="en-GB"/>
              </w:rPr>
            </w:pPr>
            <w:r>
              <w:rPr>
                <w:lang w:val="en-GB"/>
              </w:rPr>
              <w:t>352</w:t>
            </w:r>
          </w:p>
        </w:tc>
        <w:tc>
          <w:tcPr>
            <w:tcW w:w="1489" w:type="dxa"/>
          </w:tcPr>
          <w:p w14:paraId="74E81A6E" w14:textId="77777777" w:rsidR="004D45A4" w:rsidRDefault="004D45A4" w:rsidP="004D45A4">
            <w:pPr>
              <w:pStyle w:val="BodytextIndented"/>
              <w:ind w:firstLine="0"/>
              <w:jc w:val="center"/>
              <w:rPr>
                <w:lang w:val="en-GB"/>
              </w:rPr>
            </w:pPr>
            <w:r>
              <w:rPr>
                <w:lang w:val="en-GB"/>
              </w:rPr>
              <w:t>15</w:t>
            </w:r>
          </w:p>
        </w:tc>
        <w:tc>
          <w:tcPr>
            <w:tcW w:w="1489" w:type="dxa"/>
          </w:tcPr>
          <w:p w14:paraId="074AF057" w14:textId="77777777" w:rsidR="004D45A4" w:rsidRDefault="004D45A4" w:rsidP="004D45A4">
            <w:pPr>
              <w:pStyle w:val="BodytextIndented"/>
              <w:ind w:firstLine="0"/>
              <w:jc w:val="center"/>
              <w:rPr>
                <w:lang w:val="en-GB"/>
              </w:rPr>
            </w:pPr>
            <w:r>
              <w:rPr>
                <w:lang w:val="en-GB"/>
              </w:rPr>
              <w:t>11</w:t>
            </w:r>
          </w:p>
        </w:tc>
        <w:tc>
          <w:tcPr>
            <w:tcW w:w="1256" w:type="dxa"/>
          </w:tcPr>
          <w:p w14:paraId="60F2EF2D" w14:textId="77777777" w:rsidR="004D45A4" w:rsidRDefault="004D45A4" w:rsidP="004D45A4">
            <w:pPr>
              <w:pStyle w:val="BodytextIndented"/>
              <w:ind w:firstLine="0"/>
              <w:jc w:val="center"/>
              <w:rPr>
                <w:lang w:val="en-GB"/>
              </w:rPr>
            </w:pPr>
            <w:r>
              <w:rPr>
                <w:lang w:val="en-GB"/>
              </w:rPr>
              <w:t>4</w:t>
            </w:r>
          </w:p>
        </w:tc>
      </w:tr>
      <w:tr w:rsidR="004D45A4" w:rsidRPr="00CE57CF" w14:paraId="5A31ED3D" w14:textId="77777777" w:rsidTr="004D45A4">
        <w:trPr>
          <w:cantSplit/>
          <w:jc w:val="center"/>
        </w:trPr>
        <w:tc>
          <w:tcPr>
            <w:tcW w:w="322" w:type="dxa"/>
            <w:shd w:val="clear" w:color="auto" w:fill="auto"/>
            <w:tcMar>
              <w:left w:w="0" w:type="dxa"/>
              <w:right w:w="0" w:type="dxa"/>
            </w:tcMar>
          </w:tcPr>
          <w:p w14:paraId="28F7C84D" w14:textId="77777777" w:rsidR="004D45A4" w:rsidRDefault="004D45A4" w:rsidP="004D45A4">
            <w:pPr>
              <w:pStyle w:val="BodytextIndented"/>
              <w:ind w:firstLine="0"/>
              <w:jc w:val="center"/>
              <w:rPr>
                <w:lang w:val="en-GB"/>
              </w:rPr>
            </w:pPr>
            <w:r>
              <w:rPr>
                <w:lang w:val="en-GB"/>
              </w:rPr>
              <w:t>3</w:t>
            </w:r>
          </w:p>
        </w:tc>
        <w:tc>
          <w:tcPr>
            <w:tcW w:w="1203" w:type="dxa"/>
          </w:tcPr>
          <w:p w14:paraId="44CC0AB0" w14:textId="77777777" w:rsidR="004D45A4" w:rsidRDefault="004D45A4" w:rsidP="009B5433">
            <w:pPr>
              <w:pStyle w:val="BodytextIndented"/>
              <w:ind w:firstLine="0"/>
              <w:rPr>
                <w:lang w:val="en-GB"/>
              </w:rPr>
            </w:pPr>
            <w:r w:rsidRPr="00A74418">
              <w:rPr>
                <w:i/>
                <w:lang w:val="en-GB"/>
              </w:rPr>
              <w:t>student performance</w:t>
            </w:r>
          </w:p>
        </w:tc>
        <w:tc>
          <w:tcPr>
            <w:tcW w:w="1913" w:type="dxa"/>
            <w:shd w:val="clear" w:color="auto" w:fill="auto"/>
            <w:tcMar>
              <w:left w:w="0" w:type="dxa"/>
              <w:right w:w="0" w:type="dxa"/>
            </w:tcMar>
          </w:tcPr>
          <w:p w14:paraId="62C2DE2C" w14:textId="77777777" w:rsidR="004D45A4" w:rsidRDefault="004D45A4" w:rsidP="004D45A4">
            <w:pPr>
              <w:pStyle w:val="BodytextIndented"/>
              <w:ind w:firstLine="0"/>
              <w:rPr>
                <w:lang w:val="en-GB"/>
              </w:rPr>
            </w:pPr>
            <w:r w:rsidRPr="007C0353">
              <w:rPr>
                <w:lang w:val="en-GB"/>
              </w:rPr>
              <w:t>IEEEXplore</w:t>
            </w:r>
          </w:p>
        </w:tc>
        <w:tc>
          <w:tcPr>
            <w:tcW w:w="1399" w:type="dxa"/>
          </w:tcPr>
          <w:p w14:paraId="68D22ED3" w14:textId="77777777" w:rsidR="004D45A4" w:rsidRDefault="004D45A4" w:rsidP="004D45A4">
            <w:pPr>
              <w:pStyle w:val="BodytextIndented"/>
              <w:ind w:firstLine="0"/>
              <w:jc w:val="center"/>
              <w:rPr>
                <w:lang w:val="en-GB"/>
              </w:rPr>
            </w:pPr>
            <w:r>
              <w:rPr>
                <w:lang w:val="en-GB"/>
              </w:rPr>
              <w:t>515</w:t>
            </w:r>
          </w:p>
        </w:tc>
        <w:tc>
          <w:tcPr>
            <w:tcW w:w="1489" w:type="dxa"/>
          </w:tcPr>
          <w:p w14:paraId="625B439F" w14:textId="77777777" w:rsidR="004D45A4" w:rsidRDefault="004D45A4" w:rsidP="004D45A4">
            <w:pPr>
              <w:pStyle w:val="BodytextIndented"/>
              <w:ind w:firstLine="0"/>
              <w:jc w:val="center"/>
              <w:rPr>
                <w:lang w:val="en-GB"/>
              </w:rPr>
            </w:pPr>
            <w:r>
              <w:rPr>
                <w:lang w:val="en-GB"/>
              </w:rPr>
              <w:t>24</w:t>
            </w:r>
          </w:p>
        </w:tc>
        <w:tc>
          <w:tcPr>
            <w:tcW w:w="1489" w:type="dxa"/>
          </w:tcPr>
          <w:p w14:paraId="623E04F9" w14:textId="77777777" w:rsidR="004D45A4" w:rsidRDefault="004D45A4" w:rsidP="004D45A4">
            <w:pPr>
              <w:pStyle w:val="BodytextIndented"/>
              <w:ind w:firstLine="0"/>
              <w:jc w:val="center"/>
              <w:rPr>
                <w:lang w:val="en-GB"/>
              </w:rPr>
            </w:pPr>
            <w:r>
              <w:rPr>
                <w:lang w:val="en-GB"/>
              </w:rPr>
              <w:t>20</w:t>
            </w:r>
          </w:p>
        </w:tc>
        <w:tc>
          <w:tcPr>
            <w:tcW w:w="1256" w:type="dxa"/>
          </w:tcPr>
          <w:p w14:paraId="0051B8FA" w14:textId="77777777" w:rsidR="004D45A4" w:rsidRDefault="004D45A4" w:rsidP="004D45A4">
            <w:pPr>
              <w:pStyle w:val="BodytextIndented"/>
              <w:ind w:firstLine="0"/>
              <w:jc w:val="center"/>
              <w:rPr>
                <w:lang w:val="en-GB"/>
              </w:rPr>
            </w:pPr>
            <w:r>
              <w:rPr>
                <w:lang w:val="en-GB"/>
              </w:rPr>
              <w:t>4</w:t>
            </w:r>
          </w:p>
        </w:tc>
      </w:tr>
      <w:tr w:rsidR="004D45A4" w:rsidRPr="00CE57CF" w14:paraId="29E612FE" w14:textId="77777777" w:rsidTr="004D45A4">
        <w:trPr>
          <w:cantSplit/>
          <w:jc w:val="center"/>
        </w:trPr>
        <w:tc>
          <w:tcPr>
            <w:tcW w:w="322" w:type="dxa"/>
            <w:shd w:val="clear" w:color="auto" w:fill="auto"/>
            <w:tcMar>
              <w:left w:w="0" w:type="dxa"/>
              <w:right w:w="0" w:type="dxa"/>
            </w:tcMar>
          </w:tcPr>
          <w:p w14:paraId="486733A0" w14:textId="77777777" w:rsidR="004D45A4" w:rsidRDefault="004D45A4" w:rsidP="004D45A4">
            <w:pPr>
              <w:pStyle w:val="BodytextIndented"/>
              <w:ind w:firstLine="0"/>
              <w:jc w:val="center"/>
              <w:rPr>
                <w:lang w:val="en-GB"/>
              </w:rPr>
            </w:pPr>
          </w:p>
        </w:tc>
        <w:tc>
          <w:tcPr>
            <w:tcW w:w="1203" w:type="dxa"/>
          </w:tcPr>
          <w:p w14:paraId="3A3449A8"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02FA8548" w14:textId="77777777" w:rsidR="004D45A4" w:rsidRDefault="004D45A4" w:rsidP="004D45A4">
            <w:pPr>
              <w:pStyle w:val="BodytextIndented"/>
              <w:ind w:firstLine="0"/>
              <w:rPr>
                <w:lang w:val="en-GB"/>
              </w:rPr>
            </w:pPr>
            <w:r>
              <w:rPr>
                <w:lang w:val="en-GB"/>
              </w:rPr>
              <w:t>Science Direct</w:t>
            </w:r>
          </w:p>
        </w:tc>
        <w:tc>
          <w:tcPr>
            <w:tcW w:w="1399" w:type="dxa"/>
          </w:tcPr>
          <w:p w14:paraId="5FD7C710" w14:textId="77777777" w:rsidR="004D45A4" w:rsidRDefault="004D45A4" w:rsidP="004D45A4">
            <w:pPr>
              <w:pStyle w:val="BodytextIndented"/>
              <w:ind w:firstLine="0"/>
              <w:jc w:val="center"/>
              <w:rPr>
                <w:lang w:val="en-GB"/>
              </w:rPr>
            </w:pPr>
            <w:r>
              <w:rPr>
                <w:lang w:val="en-GB"/>
              </w:rPr>
              <w:t>808</w:t>
            </w:r>
          </w:p>
        </w:tc>
        <w:tc>
          <w:tcPr>
            <w:tcW w:w="1489" w:type="dxa"/>
          </w:tcPr>
          <w:p w14:paraId="73FC9B96" w14:textId="77777777" w:rsidR="004D45A4" w:rsidRDefault="004D45A4" w:rsidP="004D45A4">
            <w:pPr>
              <w:pStyle w:val="BodytextIndented"/>
              <w:ind w:firstLine="0"/>
              <w:jc w:val="center"/>
              <w:rPr>
                <w:lang w:val="en-GB"/>
              </w:rPr>
            </w:pPr>
            <w:r>
              <w:rPr>
                <w:lang w:val="en-GB"/>
              </w:rPr>
              <w:t>12</w:t>
            </w:r>
          </w:p>
        </w:tc>
        <w:tc>
          <w:tcPr>
            <w:tcW w:w="1489" w:type="dxa"/>
          </w:tcPr>
          <w:p w14:paraId="3CE9B41E" w14:textId="77777777" w:rsidR="004D45A4" w:rsidRDefault="004D45A4" w:rsidP="004D45A4">
            <w:pPr>
              <w:pStyle w:val="BodytextIndented"/>
              <w:ind w:firstLine="0"/>
              <w:jc w:val="center"/>
              <w:rPr>
                <w:lang w:val="en-GB"/>
              </w:rPr>
            </w:pPr>
            <w:r>
              <w:rPr>
                <w:lang w:val="en-GB"/>
              </w:rPr>
              <w:t>12</w:t>
            </w:r>
          </w:p>
        </w:tc>
        <w:tc>
          <w:tcPr>
            <w:tcW w:w="1256" w:type="dxa"/>
          </w:tcPr>
          <w:p w14:paraId="6CAFA8A7" w14:textId="77777777" w:rsidR="004D45A4" w:rsidRDefault="004D45A4" w:rsidP="004D45A4">
            <w:pPr>
              <w:pStyle w:val="BodytextIndented"/>
              <w:ind w:firstLine="0"/>
              <w:jc w:val="center"/>
              <w:rPr>
                <w:lang w:val="en-GB"/>
              </w:rPr>
            </w:pPr>
            <w:r>
              <w:rPr>
                <w:lang w:val="en-GB"/>
              </w:rPr>
              <w:t>0</w:t>
            </w:r>
          </w:p>
        </w:tc>
      </w:tr>
      <w:tr w:rsidR="004D45A4" w:rsidRPr="00CE57CF" w14:paraId="73AE8535" w14:textId="77777777" w:rsidTr="004D45A4">
        <w:trPr>
          <w:cantSplit/>
          <w:jc w:val="center"/>
        </w:trPr>
        <w:tc>
          <w:tcPr>
            <w:tcW w:w="322" w:type="dxa"/>
            <w:shd w:val="clear" w:color="auto" w:fill="auto"/>
            <w:tcMar>
              <w:left w:w="0" w:type="dxa"/>
              <w:right w:w="0" w:type="dxa"/>
            </w:tcMar>
          </w:tcPr>
          <w:p w14:paraId="7A736BB8" w14:textId="77777777" w:rsidR="004D45A4" w:rsidRDefault="004D45A4" w:rsidP="004D45A4">
            <w:pPr>
              <w:pStyle w:val="BodytextIndented"/>
              <w:ind w:firstLine="0"/>
              <w:jc w:val="center"/>
              <w:rPr>
                <w:lang w:val="en-GB"/>
              </w:rPr>
            </w:pPr>
          </w:p>
        </w:tc>
        <w:tc>
          <w:tcPr>
            <w:tcW w:w="1203" w:type="dxa"/>
          </w:tcPr>
          <w:p w14:paraId="38F85CB1"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2B08CD0A" w14:textId="77777777" w:rsidR="004D45A4" w:rsidRDefault="004D45A4" w:rsidP="004D45A4">
            <w:pPr>
              <w:pStyle w:val="BodytextIndented"/>
              <w:ind w:firstLine="0"/>
              <w:rPr>
                <w:lang w:val="en-GB"/>
              </w:rPr>
            </w:pPr>
            <w:r>
              <w:rPr>
                <w:lang w:val="en-GB"/>
              </w:rPr>
              <w:t>Springer Link</w:t>
            </w:r>
          </w:p>
        </w:tc>
        <w:tc>
          <w:tcPr>
            <w:tcW w:w="1399" w:type="dxa"/>
          </w:tcPr>
          <w:p w14:paraId="0BAED134" w14:textId="77777777" w:rsidR="004D45A4" w:rsidRDefault="004D45A4" w:rsidP="004D45A4">
            <w:pPr>
              <w:pStyle w:val="BodytextIndented"/>
              <w:ind w:firstLine="0"/>
              <w:jc w:val="center"/>
              <w:rPr>
                <w:lang w:val="en-GB"/>
              </w:rPr>
            </w:pPr>
            <w:r>
              <w:rPr>
                <w:lang w:val="en-GB"/>
              </w:rPr>
              <w:t>522</w:t>
            </w:r>
          </w:p>
        </w:tc>
        <w:tc>
          <w:tcPr>
            <w:tcW w:w="1489" w:type="dxa"/>
          </w:tcPr>
          <w:p w14:paraId="4C9C5FD4" w14:textId="77777777" w:rsidR="004D45A4" w:rsidRDefault="004D45A4" w:rsidP="004D45A4">
            <w:pPr>
              <w:pStyle w:val="BodytextIndented"/>
              <w:ind w:firstLine="0"/>
              <w:jc w:val="center"/>
              <w:rPr>
                <w:lang w:val="en-GB"/>
              </w:rPr>
            </w:pPr>
            <w:r>
              <w:rPr>
                <w:lang w:val="en-GB"/>
              </w:rPr>
              <w:t>26</w:t>
            </w:r>
          </w:p>
        </w:tc>
        <w:tc>
          <w:tcPr>
            <w:tcW w:w="1489" w:type="dxa"/>
          </w:tcPr>
          <w:p w14:paraId="26151ABD" w14:textId="77777777" w:rsidR="004D45A4" w:rsidRDefault="004D45A4" w:rsidP="004D45A4">
            <w:pPr>
              <w:pStyle w:val="BodytextIndented"/>
              <w:ind w:firstLine="0"/>
              <w:jc w:val="center"/>
              <w:rPr>
                <w:lang w:val="en-GB"/>
              </w:rPr>
            </w:pPr>
            <w:r>
              <w:rPr>
                <w:lang w:val="en-GB"/>
              </w:rPr>
              <w:t>21</w:t>
            </w:r>
          </w:p>
        </w:tc>
        <w:tc>
          <w:tcPr>
            <w:tcW w:w="1256" w:type="dxa"/>
          </w:tcPr>
          <w:p w14:paraId="12AF8C85" w14:textId="77777777" w:rsidR="004D45A4" w:rsidRDefault="004D45A4" w:rsidP="004D45A4">
            <w:pPr>
              <w:pStyle w:val="BodytextIndented"/>
              <w:ind w:firstLine="0"/>
              <w:jc w:val="center"/>
              <w:rPr>
                <w:lang w:val="en-GB"/>
              </w:rPr>
            </w:pPr>
            <w:r>
              <w:rPr>
                <w:lang w:val="en-GB"/>
              </w:rPr>
              <w:t>5</w:t>
            </w:r>
          </w:p>
        </w:tc>
      </w:tr>
      <w:tr w:rsidR="004D45A4" w:rsidRPr="00CE57CF" w14:paraId="7D0C9B29" w14:textId="77777777" w:rsidTr="004D45A4">
        <w:trPr>
          <w:cantSplit/>
          <w:jc w:val="center"/>
        </w:trPr>
        <w:tc>
          <w:tcPr>
            <w:tcW w:w="322" w:type="dxa"/>
            <w:shd w:val="clear" w:color="auto" w:fill="auto"/>
            <w:tcMar>
              <w:left w:w="0" w:type="dxa"/>
              <w:right w:w="0" w:type="dxa"/>
            </w:tcMar>
          </w:tcPr>
          <w:p w14:paraId="0939399E" w14:textId="77777777" w:rsidR="004D45A4" w:rsidRDefault="004D45A4" w:rsidP="004D45A4">
            <w:pPr>
              <w:pStyle w:val="BodytextIndented"/>
              <w:ind w:firstLine="0"/>
              <w:jc w:val="center"/>
              <w:rPr>
                <w:lang w:val="en-GB"/>
              </w:rPr>
            </w:pPr>
            <w:r>
              <w:rPr>
                <w:lang w:val="en-GB"/>
              </w:rPr>
              <w:t>4</w:t>
            </w:r>
          </w:p>
        </w:tc>
        <w:tc>
          <w:tcPr>
            <w:tcW w:w="1203" w:type="dxa"/>
          </w:tcPr>
          <w:p w14:paraId="73642382" w14:textId="77777777" w:rsidR="004D45A4" w:rsidRDefault="004D45A4" w:rsidP="009B5433">
            <w:pPr>
              <w:pStyle w:val="BodytextIndented"/>
              <w:ind w:firstLine="0"/>
              <w:rPr>
                <w:lang w:val="en-GB"/>
              </w:rPr>
            </w:pPr>
            <w:r w:rsidRPr="00A74418">
              <w:rPr>
                <w:i/>
                <w:lang w:val="en-GB"/>
              </w:rPr>
              <w:t>machine learning in education engineering</w:t>
            </w:r>
          </w:p>
        </w:tc>
        <w:tc>
          <w:tcPr>
            <w:tcW w:w="1913" w:type="dxa"/>
            <w:shd w:val="clear" w:color="auto" w:fill="auto"/>
            <w:tcMar>
              <w:left w:w="0" w:type="dxa"/>
              <w:right w:w="0" w:type="dxa"/>
            </w:tcMar>
          </w:tcPr>
          <w:p w14:paraId="63B32C82" w14:textId="77777777" w:rsidR="004D45A4" w:rsidRPr="00750EEA" w:rsidRDefault="004D45A4" w:rsidP="004D45A4">
            <w:pPr>
              <w:pStyle w:val="BodytextIndented"/>
              <w:ind w:firstLine="0"/>
              <w:rPr>
                <w:lang w:val="en-GB"/>
              </w:rPr>
            </w:pPr>
            <w:r w:rsidRPr="007C0353">
              <w:rPr>
                <w:lang w:val="en-GB"/>
              </w:rPr>
              <w:t>IEEEXplore</w:t>
            </w:r>
          </w:p>
        </w:tc>
        <w:tc>
          <w:tcPr>
            <w:tcW w:w="1399" w:type="dxa"/>
          </w:tcPr>
          <w:p w14:paraId="6BBF61D9" w14:textId="77777777" w:rsidR="004D45A4" w:rsidRDefault="004D45A4" w:rsidP="004D45A4">
            <w:pPr>
              <w:pStyle w:val="BodytextIndented"/>
              <w:ind w:firstLine="0"/>
              <w:jc w:val="center"/>
              <w:rPr>
                <w:lang w:val="en-GB"/>
              </w:rPr>
            </w:pPr>
            <w:r>
              <w:rPr>
                <w:lang w:val="en-GB"/>
              </w:rPr>
              <w:t>606</w:t>
            </w:r>
          </w:p>
        </w:tc>
        <w:tc>
          <w:tcPr>
            <w:tcW w:w="1489" w:type="dxa"/>
          </w:tcPr>
          <w:p w14:paraId="2819ADE1" w14:textId="77777777" w:rsidR="004D45A4" w:rsidRDefault="004D45A4" w:rsidP="004D45A4">
            <w:pPr>
              <w:pStyle w:val="BodytextIndented"/>
              <w:ind w:firstLine="0"/>
              <w:jc w:val="center"/>
              <w:rPr>
                <w:lang w:val="en-GB"/>
              </w:rPr>
            </w:pPr>
            <w:r>
              <w:rPr>
                <w:lang w:val="en-GB"/>
              </w:rPr>
              <w:t>23</w:t>
            </w:r>
          </w:p>
        </w:tc>
        <w:tc>
          <w:tcPr>
            <w:tcW w:w="1489" w:type="dxa"/>
          </w:tcPr>
          <w:p w14:paraId="7C3067E0" w14:textId="77777777" w:rsidR="004D45A4" w:rsidRDefault="004D45A4" w:rsidP="004D45A4">
            <w:pPr>
              <w:pStyle w:val="BodytextIndented"/>
              <w:ind w:firstLine="0"/>
              <w:jc w:val="center"/>
              <w:rPr>
                <w:lang w:val="en-GB"/>
              </w:rPr>
            </w:pPr>
            <w:r>
              <w:rPr>
                <w:lang w:val="en-GB"/>
              </w:rPr>
              <w:t>19</w:t>
            </w:r>
          </w:p>
        </w:tc>
        <w:tc>
          <w:tcPr>
            <w:tcW w:w="1256" w:type="dxa"/>
          </w:tcPr>
          <w:p w14:paraId="680E0617" w14:textId="77777777" w:rsidR="004D45A4" w:rsidRDefault="004D45A4" w:rsidP="004D45A4">
            <w:pPr>
              <w:pStyle w:val="BodytextIndented"/>
              <w:ind w:firstLine="0"/>
              <w:jc w:val="center"/>
              <w:rPr>
                <w:lang w:val="en-GB"/>
              </w:rPr>
            </w:pPr>
            <w:r>
              <w:rPr>
                <w:lang w:val="en-GB"/>
              </w:rPr>
              <w:t>4</w:t>
            </w:r>
          </w:p>
        </w:tc>
      </w:tr>
      <w:tr w:rsidR="004D45A4" w:rsidRPr="00CE57CF" w14:paraId="79345C4C" w14:textId="77777777" w:rsidTr="004D45A4">
        <w:trPr>
          <w:cantSplit/>
          <w:jc w:val="center"/>
        </w:trPr>
        <w:tc>
          <w:tcPr>
            <w:tcW w:w="322" w:type="dxa"/>
            <w:shd w:val="clear" w:color="auto" w:fill="auto"/>
            <w:tcMar>
              <w:left w:w="0" w:type="dxa"/>
              <w:right w:w="0" w:type="dxa"/>
            </w:tcMar>
          </w:tcPr>
          <w:p w14:paraId="67A968EE" w14:textId="77777777" w:rsidR="004D45A4" w:rsidRDefault="004D45A4" w:rsidP="004D45A4">
            <w:pPr>
              <w:pStyle w:val="BodytextIndented"/>
              <w:ind w:firstLine="0"/>
              <w:jc w:val="center"/>
              <w:rPr>
                <w:lang w:val="en-GB"/>
              </w:rPr>
            </w:pPr>
          </w:p>
        </w:tc>
        <w:tc>
          <w:tcPr>
            <w:tcW w:w="1203" w:type="dxa"/>
          </w:tcPr>
          <w:p w14:paraId="692B682C"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41484789" w14:textId="77777777" w:rsidR="004D45A4" w:rsidRDefault="004D45A4" w:rsidP="004D45A4">
            <w:pPr>
              <w:pStyle w:val="BodytextIndented"/>
              <w:ind w:firstLine="0"/>
              <w:rPr>
                <w:lang w:val="en-GB"/>
              </w:rPr>
            </w:pPr>
            <w:r>
              <w:rPr>
                <w:lang w:val="en-GB"/>
              </w:rPr>
              <w:t>ERIC</w:t>
            </w:r>
          </w:p>
        </w:tc>
        <w:tc>
          <w:tcPr>
            <w:tcW w:w="1399" w:type="dxa"/>
          </w:tcPr>
          <w:p w14:paraId="0CED2DA9" w14:textId="77777777" w:rsidR="004D45A4" w:rsidRDefault="004D45A4" w:rsidP="004D45A4">
            <w:pPr>
              <w:pStyle w:val="BodytextIndented"/>
              <w:ind w:firstLine="0"/>
              <w:jc w:val="center"/>
              <w:rPr>
                <w:lang w:val="en-GB"/>
              </w:rPr>
            </w:pPr>
            <w:r>
              <w:rPr>
                <w:lang w:val="en-GB"/>
              </w:rPr>
              <w:t>25199</w:t>
            </w:r>
          </w:p>
        </w:tc>
        <w:tc>
          <w:tcPr>
            <w:tcW w:w="1489" w:type="dxa"/>
          </w:tcPr>
          <w:p w14:paraId="01FD6C8A" w14:textId="77777777" w:rsidR="004D45A4" w:rsidRDefault="004D45A4" w:rsidP="004D45A4">
            <w:pPr>
              <w:pStyle w:val="BodytextIndented"/>
              <w:ind w:firstLine="0"/>
              <w:jc w:val="center"/>
              <w:rPr>
                <w:lang w:val="en-GB"/>
              </w:rPr>
            </w:pPr>
            <w:r>
              <w:rPr>
                <w:lang w:val="en-GB"/>
              </w:rPr>
              <w:t>10</w:t>
            </w:r>
          </w:p>
        </w:tc>
        <w:tc>
          <w:tcPr>
            <w:tcW w:w="1489" w:type="dxa"/>
          </w:tcPr>
          <w:p w14:paraId="723989D3" w14:textId="77777777" w:rsidR="004D45A4" w:rsidRDefault="004D45A4" w:rsidP="004D45A4">
            <w:pPr>
              <w:pStyle w:val="BodytextIndented"/>
              <w:ind w:firstLine="0"/>
              <w:jc w:val="center"/>
              <w:rPr>
                <w:lang w:val="en-GB"/>
              </w:rPr>
            </w:pPr>
            <w:r>
              <w:rPr>
                <w:lang w:val="en-GB"/>
              </w:rPr>
              <w:t>6</w:t>
            </w:r>
          </w:p>
        </w:tc>
        <w:tc>
          <w:tcPr>
            <w:tcW w:w="1256" w:type="dxa"/>
          </w:tcPr>
          <w:p w14:paraId="24695D7D" w14:textId="77777777" w:rsidR="004D45A4" w:rsidRDefault="004D45A4" w:rsidP="004D45A4">
            <w:pPr>
              <w:pStyle w:val="BodytextIndented"/>
              <w:ind w:firstLine="0"/>
              <w:jc w:val="center"/>
              <w:rPr>
                <w:lang w:val="en-GB"/>
              </w:rPr>
            </w:pPr>
            <w:r>
              <w:rPr>
                <w:lang w:val="en-GB"/>
              </w:rPr>
              <w:t>4</w:t>
            </w:r>
          </w:p>
        </w:tc>
      </w:tr>
      <w:tr w:rsidR="004D45A4" w:rsidRPr="00CE57CF" w14:paraId="659D0422" w14:textId="77777777" w:rsidTr="004D45A4">
        <w:trPr>
          <w:cantSplit/>
          <w:jc w:val="center"/>
        </w:trPr>
        <w:tc>
          <w:tcPr>
            <w:tcW w:w="322" w:type="dxa"/>
            <w:shd w:val="clear" w:color="auto" w:fill="auto"/>
            <w:tcMar>
              <w:left w:w="0" w:type="dxa"/>
              <w:right w:w="0" w:type="dxa"/>
            </w:tcMar>
          </w:tcPr>
          <w:p w14:paraId="68C5D248" w14:textId="77777777" w:rsidR="004D45A4" w:rsidRDefault="004D45A4" w:rsidP="004D45A4">
            <w:pPr>
              <w:pStyle w:val="BodytextIndented"/>
              <w:ind w:firstLine="0"/>
              <w:jc w:val="center"/>
              <w:rPr>
                <w:lang w:val="en-GB"/>
              </w:rPr>
            </w:pPr>
          </w:p>
        </w:tc>
        <w:tc>
          <w:tcPr>
            <w:tcW w:w="1203" w:type="dxa"/>
          </w:tcPr>
          <w:p w14:paraId="08210BF8" w14:textId="77777777" w:rsidR="004D45A4" w:rsidRDefault="004D45A4" w:rsidP="009B5433">
            <w:pPr>
              <w:pStyle w:val="BodytextIndented"/>
              <w:ind w:firstLine="0"/>
              <w:rPr>
                <w:lang w:val="en-GB"/>
              </w:rPr>
            </w:pPr>
          </w:p>
        </w:tc>
        <w:tc>
          <w:tcPr>
            <w:tcW w:w="1913" w:type="dxa"/>
            <w:shd w:val="clear" w:color="auto" w:fill="auto"/>
            <w:tcMar>
              <w:left w:w="0" w:type="dxa"/>
              <w:right w:w="0" w:type="dxa"/>
            </w:tcMar>
          </w:tcPr>
          <w:p w14:paraId="76D4ED93" w14:textId="77777777" w:rsidR="004D45A4" w:rsidRDefault="004D45A4" w:rsidP="004D45A4">
            <w:pPr>
              <w:pStyle w:val="BodytextIndented"/>
              <w:ind w:firstLine="0"/>
              <w:rPr>
                <w:lang w:val="en-GB"/>
              </w:rPr>
            </w:pPr>
            <w:r>
              <w:rPr>
                <w:lang w:val="en-GB"/>
              </w:rPr>
              <w:t>Springer Link</w:t>
            </w:r>
          </w:p>
        </w:tc>
        <w:tc>
          <w:tcPr>
            <w:tcW w:w="1399" w:type="dxa"/>
          </w:tcPr>
          <w:p w14:paraId="61AB215A" w14:textId="77777777" w:rsidR="004D45A4" w:rsidRDefault="004D45A4" w:rsidP="004D45A4">
            <w:pPr>
              <w:pStyle w:val="BodytextIndented"/>
              <w:ind w:firstLine="0"/>
              <w:jc w:val="center"/>
              <w:rPr>
                <w:lang w:val="en-GB"/>
              </w:rPr>
            </w:pPr>
            <w:r>
              <w:rPr>
                <w:lang w:val="en-GB"/>
              </w:rPr>
              <w:t>6</w:t>
            </w:r>
          </w:p>
        </w:tc>
        <w:tc>
          <w:tcPr>
            <w:tcW w:w="1489" w:type="dxa"/>
          </w:tcPr>
          <w:p w14:paraId="7D2B6AC2" w14:textId="77777777" w:rsidR="004D45A4" w:rsidRDefault="004D45A4" w:rsidP="004D45A4">
            <w:pPr>
              <w:pStyle w:val="BodytextIndented"/>
              <w:ind w:firstLine="0"/>
              <w:jc w:val="center"/>
              <w:rPr>
                <w:lang w:val="en-GB"/>
              </w:rPr>
            </w:pPr>
            <w:r>
              <w:rPr>
                <w:lang w:val="en-GB"/>
              </w:rPr>
              <w:t>3</w:t>
            </w:r>
          </w:p>
        </w:tc>
        <w:tc>
          <w:tcPr>
            <w:tcW w:w="1489" w:type="dxa"/>
          </w:tcPr>
          <w:p w14:paraId="05AB985B" w14:textId="77777777" w:rsidR="004D45A4" w:rsidRDefault="004D45A4" w:rsidP="004D45A4">
            <w:pPr>
              <w:pStyle w:val="BodytextIndented"/>
              <w:ind w:firstLine="0"/>
              <w:jc w:val="center"/>
              <w:rPr>
                <w:lang w:val="en-GB"/>
              </w:rPr>
            </w:pPr>
            <w:r>
              <w:rPr>
                <w:lang w:val="en-GB"/>
              </w:rPr>
              <w:t>3</w:t>
            </w:r>
          </w:p>
        </w:tc>
        <w:tc>
          <w:tcPr>
            <w:tcW w:w="1256" w:type="dxa"/>
          </w:tcPr>
          <w:p w14:paraId="2300828C" w14:textId="77777777" w:rsidR="004D45A4" w:rsidRDefault="004D45A4" w:rsidP="004D45A4">
            <w:pPr>
              <w:pStyle w:val="BodytextIndented"/>
              <w:ind w:firstLine="0"/>
              <w:jc w:val="center"/>
              <w:rPr>
                <w:lang w:val="en-GB"/>
              </w:rPr>
            </w:pPr>
            <w:r>
              <w:rPr>
                <w:lang w:val="en-GB"/>
              </w:rPr>
              <w:t>0</w:t>
            </w:r>
          </w:p>
        </w:tc>
      </w:tr>
      <w:tr w:rsidR="004D45A4" w:rsidRPr="00CE57CF" w14:paraId="38487981" w14:textId="77777777" w:rsidTr="004D45A4">
        <w:trPr>
          <w:cantSplit/>
          <w:jc w:val="center"/>
        </w:trPr>
        <w:tc>
          <w:tcPr>
            <w:tcW w:w="322" w:type="dxa"/>
            <w:shd w:val="clear" w:color="auto" w:fill="auto"/>
            <w:tcMar>
              <w:left w:w="0" w:type="dxa"/>
              <w:right w:w="0" w:type="dxa"/>
            </w:tcMar>
          </w:tcPr>
          <w:p w14:paraId="53B46CEF" w14:textId="77777777" w:rsidR="004D45A4" w:rsidRDefault="004D45A4" w:rsidP="004D45A4">
            <w:pPr>
              <w:pStyle w:val="BodytextIndented"/>
              <w:ind w:firstLine="0"/>
              <w:jc w:val="center"/>
              <w:rPr>
                <w:lang w:val="en-GB"/>
              </w:rPr>
            </w:pPr>
            <w:r>
              <w:rPr>
                <w:lang w:val="en-GB"/>
              </w:rPr>
              <w:t>5</w:t>
            </w:r>
          </w:p>
        </w:tc>
        <w:tc>
          <w:tcPr>
            <w:tcW w:w="1203" w:type="dxa"/>
          </w:tcPr>
          <w:p w14:paraId="4BC3EBD5" w14:textId="77777777" w:rsidR="004D45A4" w:rsidRDefault="004D45A4" w:rsidP="009B5433">
            <w:pPr>
              <w:pStyle w:val="BodytextIndented"/>
              <w:ind w:firstLine="0"/>
              <w:rPr>
                <w:lang w:val="en-GB"/>
              </w:rPr>
            </w:pPr>
            <w:r w:rsidRPr="00A74418">
              <w:rPr>
                <w:i/>
                <w:lang w:val="en-GB"/>
              </w:rPr>
              <w:t>machine learning in student assessment</w:t>
            </w:r>
          </w:p>
        </w:tc>
        <w:tc>
          <w:tcPr>
            <w:tcW w:w="1913" w:type="dxa"/>
            <w:shd w:val="clear" w:color="auto" w:fill="auto"/>
            <w:tcMar>
              <w:left w:w="0" w:type="dxa"/>
              <w:right w:w="0" w:type="dxa"/>
            </w:tcMar>
          </w:tcPr>
          <w:p w14:paraId="363B3082" w14:textId="77777777" w:rsidR="004D45A4" w:rsidRPr="00750EEA" w:rsidRDefault="004D45A4" w:rsidP="004D45A4">
            <w:pPr>
              <w:pStyle w:val="BodytextIndented"/>
              <w:ind w:firstLine="0"/>
              <w:rPr>
                <w:lang w:val="en-GB"/>
              </w:rPr>
            </w:pPr>
            <w:r w:rsidRPr="007C0353">
              <w:rPr>
                <w:lang w:val="en-GB"/>
              </w:rPr>
              <w:t>IEEEXplore</w:t>
            </w:r>
          </w:p>
        </w:tc>
        <w:tc>
          <w:tcPr>
            <w:tcW w:w="1399" w:type="dxa"/>
          </w:tcPr>
          <w:p w14:paraId="17C0B4CF" w14:textId="77777777" w:rsidR="004D45A4" w:rsidRDefault="004D45A4" w:rsidP="004D45A4">
            <w:pPr>
              <w:pStyle w:val="BodytextIndented"/>
              <w:ind w:firstLine="0"/>
              <w:jc w:val="center"/>
              <w:rPr>
                <w:lang w:val="en-GB"/>
              </w:rPr>
            </w:pPr>
            <w:r>
              <w:rPr>
                <w:lang w:val="en-GB"/>
              </w:rPr>
              <w:t>12</w:t>
            </w:r>
          </w:p>
        </w:tc>
        <w:tc>
          <w:tcPr>
            <w:tcW w:w="1489" w:type="dxa"/>
          </w:tcPr>
          <w:p w14:paraId="56E52AE9" w14:textId="77777777" w:rsidR="004D45A4" w:rsidRDefault="004D45A4" w:rsidP="004D45A4">
            <w:pPr>
              <w:pStyle w:val="BodytextIndented"/>
              <w:ind w:firstLine="0"/>
              <w:jc w:val="center"/>
              <w:rPr>
                <w:lang w:val="en-GB"/>
              </w:rPr>
            </w:pPr>
            <w:r>
              <w:rPr>
                <w:lang w:val="en-GB"/>
              </w:rPr>
              <w:t>6</w:t>
            </w:r>
          </w:p>
        </w:tc>
        <w:tc>
          <w:tcPr>
            <w:tcW w:w="1489" w:type="dxa"/>
          </w:tcPr>
          <w:p w14:paraId="30AC11F3" w14:textId="77777777" w:rsidR="004D45A4" w:rsidRDefault="004D45A4" w:rsidP="004D45A4">
            <w:pPr>
              <w:pStyle w:val="BodytextIndented"/>
              <w:ind w:firstLine="0"/>
              <w:jc w:val="center"/>
              <w:rPr>
                <w:lang w:val="en-GB"/>
              </w:rPr>
            </w:pPr>
            <w:r>
              <w:rPr>
                <w:lang w:val="en-GB"/>
              </w:rPr>
              <w:t>6</w:t>
            </w:r>
          </w:p>
        </w:tc>
        <w:tc>
          <w:tcPr>
            <w:tcW w:w="1256" w:type="dxa"/>
          </w:tcPr>
          <w:p w14:paraId="543960EE" w14:textId="77777777" w:rsidR="004D45A4" w:rsidRDefault="004D45A4" w:rsidP="004D45A4">
            <w:pPr>
              <w:pStyle w:val="BodytextIndented"/>
              <w:ind w:firstLine="0"/>
              <w:jc w:val="center"/>
              <w:rPr>
                <w:lang w:val="en-GB"/>
              </w:rPr>
            </w:pPr>
            <w:r>
              <w:rPr>
                <w:lang w:val="en-GB"/>
              </w:rPr>
              <w:t>0</w:t>
            </w:r>
          </w:p>
        </w:tc>
      </w:tr>
      <w:tr w:rsidR="004D45A4" w:rsidRPr="00CE57CF" w14:paraId="7D88E3EE" w14:textId="77777777" w:rsidTr="004D45A4">
        <w:trPr>
          <w:cantSplit/>
          <w:jc w:val="center"/>
        </w:trPr>
        <w:tc>
          <w:tcPr>
            <w:tcW w:w="322" w:type="dxa"/>
            <w:shd w:val="clear" w:color="auto" w:fill="auto"/>
            <w:tcMar>
              <w:left w:w="0" w:type="dxa"/>
              <w:right w:w="0" w:type="dxa"/>
            </w:tcMar>
          </w:tcPr>
          <w:p w14:paraId="4F6A2B0B" w14:textId="77777777" w:rsidR="004D45A4" w:rsidRDefault="004D45A4" w:rsidP="004D45A4">
            <w:pPr>
              <w:pStyle w:val="BodytextIndented"/>
              <w:ind w:firstLine="0"/>
              <w:rPr>
                <w:lang w:val="en-GB"/>
              </w:rPr>
            </w:pPr>
          </w:p>
        </w:tc>
        <w:tc>
          <w:tcPr>
            <w:tcW w:w="1203" w:type="dxa"/>
          </w:tcPr>
          <w:p w14:paraId="37023564" w14:textId="77777777" w:rsidR="004D45A4" w:rsidRDefault="004D45A4" w:rsidP="004D45A4">
            <w:pPr>
              <w:pStyle w:val="BodytextIndented"/>
              <w:ind w:firstLine="0"/>
              <w:rPr>
                <w:lang w:val="en-GB"/>
              </w:rPr>
            </w:pPr>
          </w:p>
        </w:tc>
        <w:tc>
          <w:tcPr>
            <w:tcW w:w="1913" w:type="dxa"/>
            <w:shd w:val="clear" w:color="auto" w:fill="auto"/>
            <w:tcMar>
              <w:left w:w="0" w:type="dxa"/>
              <w:right w:w="0" w:type="dxa"/>
            </w:tcMar>
          </w:tcPr>
          <w:p w14:paraId="6AC7027C" w14:textId="77777777" w:rsidR="004D45A4" w:rsidRDefault="004D45A4" w:rsidP="004D45A4">
            <w:pPr>
              <w:pStyle w:val="BodytextIndented"/>
              <w:ind w:firstLine="0"/>
              <w:rPr>
                <w:lang w:val="en-GB"/>
              </w:rPr>
            </w:pPr>
            <w:r>
              <w:rPr>
                <w:lang w:val="en-GB"/>
              </w:rPr>
              <w:t>ERIC</w:t>
            </w:r>
          </w:p>
        </w:tc>
        <w:tc>
          <w:tcPr>
            <w:tcW w:w="1399" w:type="dxa"/>
          </w:tcPr>
          <w:p w14:paraId="6FB741FC" w14:textId="77777777" w:rsidR="004D45A4" w:rsidRDefault="004D45A4" w:rsidP="004D45A4">
            <w:pPr>
              <w:pStyle w:val="BodytextIndented"/>
              <w:ind w:firstLine="0"/>
              <w:jc w:val="center"/>
              <w:rPr>
                <w:lang w:val="en-GB"/>
              </w:rPr>
            </w:pPr>
            <w:r>
              <w:rPr>
                <w:lang w:val="en-GB"/>
              </w:rPr>
              <w:t>57375</w:t>
            </w:r>
          </w:p>
        </w:tc>
        <w:tc>
          <w:tcPr>
            <w:tcW w:w="1489" w:type="dxa"/>
          </w:tcPr>
          <w:p w14:paraId="646B52F6" w14:textId="77777777" w:rsidR="004D45A4" w:rsidRDefault="004D45A4" w:rsidP="004D45A4">
            <w:pPr>
              <w:pStyle w:val="BodytextIndented"/>
              <w:ind w:firstLine="0"/>
              <w:jc w:val="center"/>
              <w:rPr>
                <w:lang w:val="en-GB"/>
              </w:rPr>
            </w:pPr>
            <w:r>
              <w:rPr>
                <w:lang w:val="en-GB"/>
              </w:rPr>
              <w:t>16</w:t>
            </w:r>
          </w:p>
        </w:tc>
        <w:tc>
          <w:tcPr>
            <w:tcW w:w="1489" w:type="dxa"/>
          </w:tcPr>
          <w:p w14:paraId="045A8F4C" w14:textId="77777777" w:rsidR="004D45A4" w:rsidRDefault="004D45A4" w:rsidP="004D45A4">
            <w:pPr>
              <w:pStyle w:val="BodytextIndented"/>
              <w:ind w:firstLine="0"/>
              <w:jc w:val="center"/>
              <w:rPr>
                <w:lang w:val="en-GB"/>
              </w:rPr>
            </w:pPr>
            <w:r>
              <w:rPr>
                <w:lang w:val="en-GB"/>
              </w:rPr>
              <w:t>14</w:t>
            </w:r>
          </w:p>
        </w:tc>
        <w:tc>
          <w:tcPr>
            <w:tcW w:w="1256" w:type="dxa"/>
          </w:tcPr>
          <w:p w14:paraId="2138079D" w14:textId="77777777" w:rsidR="004D45A4" w:rsidRDefault="004D45A4" w:rsidP="004D45A4">
            <w:pPr>
              <w:pStyle w:val="BodytextIndented"/>
              <w:ind w:firstLine="0"/>
              <w:jc w:val="center"/>
              <w:rPr>
                <w:lang w:val="en-GB"/>
              </w:rPr>
            </w:pPr>
            <w:r>
              <w:rPr>
                <w:lang w:val="en-GB"/>
              </w:rPr>
              <w:t>2</w:t>
            </w:r>
          </w:p>
        </w:tc>
      </w:tr>
      <w:tr w:rsidR="004D45A4" w:rsidRPr="00CE57CF" w14:paraId="7294F5BA" w14:textId="77777777" w:rsidTr="004D45A4">
        <w:trPr>
          <w:cantSplit/>
          <w:jc w:val="center"/>
        </w:trPr>
        <w:tc>
          <w:tcPr>
            <w:tcW w:w="322" w:type="dxa"/>
            <w:shd w:val="clear" w:color="auto" w:fill="auto"/>
            <w:tcMar>
              <w:left w:w="0" w:type="dxa"/>
              <w:right w:w="0" w:type="dxa"/>
            </w:tcMar>
          </w:tcPr>
          <w:p w14:paraId="079D0FC2" w14:textId="77777777" w:rsidR="004D45A4" w:rsidRDefault="004D45A4" w:rsidP="004D45A4">
            <w:pPr>
              <w:pStyle w:val="BodytextIndented"/>
              <w:ind w:firstLine="0"/>
              <w:rPr>
                <w:lang w:val="en-GB"/>
              </w:rPr>
            </w:pPr>
          </w:p>
        </w:tc>
        <w:tc>
          <w:tcPr>
            <w:tcW w:w="1203" w:type="dxa"/>
          </w:tcPr>
          <w:p w14:paraId="2F724757" w14:textId="77777777" w:rsidR="004D45A4" w:rsidRDefault="004D45A4" w:rsidP="004D45A4">
            <w:pPr>
              <w:pStyle w:val="BodytextIndented"/>
              <w:ind w:firstLine="0"/>
              <w:rPr>
                <w:lang w:val="en-GB"/>
              </w:rPr>
            </w:pPr>
          </w:p>
        </w:tc>
        <w:tc>
          <w:tcPr>
            <w:tcW w:w="1913" w:type="dxa"/>
            <w:shd w:val="clear" w:color="auto" w:fill="auto"/>
            <w:tcMar>
              <w:left w:w="0" w:type="dxa"/>
              <w:right w:w="0" w:type="dxa"/>
            </w:tcMar>
          </w:tcPr>
          <w:p w14:paraId="4E27A17B" w14:textId="77777777" w:rsidR="004D45A4" w:rsidRDefault="004D45A4" w:rsidP="004D45A4">
            <w:pPr>
              <w:pStyle w:val="BodytextIndented"/>
              <w:ind w:firstLine="0"/>
              <w:rPr>
                <w:lang w:val="en-GB"/>
              </w:rPr>
            </w:pPr>
            <w:r>
              <w:rPr>
                <w:lang w:val="en-GB"/>
              </w:rPr>
              <w:t>Springer Link</w:t>
            </w:r>
          </w:p>
        </w:tc>
        <w:tc>
          <w:tcPr>
            <w:tcW w:w="1399" w:type="dxa"/>
          </w:tcPr>
          <w:p w14:paraId="616AD375" w14:textId="77777777" w:rsidR="004D45A4" w:rsidRDefault="004D45A4" w:rsidP="004D45A4">
            <w:pPr>
              <w:pStyle w:val="BodytextIndented"/>
              <w:ind w:firstLine="0"/>
              <w:jc w:val="center"/>
              <w:rPr>
                <w:lang w:val="en-GB"/>
              </w:rPr>
            </w:pPr>
            <w:r>
              <w:rPr>
                <w:lang w:val="en-GB"/>
              </w:rPr>
              <w:t>63</w:t>
            </w:r>
          </w:p>
        </w:tc>
        <w:tc>
          <w:tcPr>
            <w:tcW w:w="1489" w:type="dxa"/>
          </w:tcPr>
          <w:p w14:paraId="5A3F1F4C" w14:textId="77777777" w:rsidR="004D45A4" w:rsidRDefault="004D45A4" w:rsidP="004D45A4">
            <w:pPr>
              <w:pStyle w:val="BodytextIndented"/>
              <w:ind w:firstLine="0"/>
              <w:jc w:val="center"/>
              <w:rPr>
                <w:lang w:val="en-GB"/>
              </w:rPr>
            </w:pPr>
            <w:r>
              <w:rPr>
                <w:lang w:val="en-GB"/>
              </w:rPr>
              <w:t>16</w:t>
            </w:r>
          </w:p>
        </w:tc>
        <w:tc>
          <w:tcPr>
            <w:tcW w:w="1489" w:type="dxa"/>
          </w:tcPr>
          <w:p w14:paraId="42A080C0" w14:textId="77777777" w:rsidR="004D45A4" w:rsidRDefault="004D45A4" w:rsidP="004D45A4">
            <w:pPr>
              <w:pStyle w:val="BodytextIndented"/>
              <w:ind w:firstLine="0"/>
              <w:jc w:val="center"/>
              <w:rPr>
                <w:lang w:val="en-GB"/>
              </w:rPr>
            </w:pPr>
            <w:r>
              <w:rPr>
                <w:lang w:val="en-GB"/>
              </w:rPr>
              <w:t>15</w:t>
            </w:r>
          </w:p>
        </w:tc>
        <w:tc>
          <w:tcPr>
            <w:tcW w:w="1256" w:type="dxa"/>
          </w:tcPr>
          <w:p w14:paraId="22780CEF" w14:textId="77777777" w:rsidR="004D45A4" w:rsidRDefault="004D45A4" w:rsidP="004D45A4">
            <w:pPr>
              <w:pStyle w:val="BodytextIndented"/>
              <w:ind w:firstLine="0"/>
              <w:jc w:val="center"/>
              <w:rPr>
                <w:lang w:val="en-GB"/>
              </w:rPr>
            </w:pPr>
            <w:r>
              <w:rPr>
                <w:lang w:val="en-GB"/>
              </w:rPr>
              <w:t>1</w:t>
            </w:r>
          </w:p>
        </w:tc>
      </w:tr>
      <w:tr w:rsidR="004D45A4" w:rsidRPr="00CE57CF" w14:paraId="207A8708" w14:textId="77777777" w:rsidTr="00AF6231">
        <w:trPr>
          <w:cantSplit/>
          <w:jc w:val="center"/>
        </w:trPr>
        <w:tc>
          <w:tcPr>
            <w:tcW w:w="322" w:type="dxa"/>
            <w:shd w:val="clear" w:color="auto" w:fill="auto"/>
            <w:tcMar>
              <w:left w:w="0" w:type="dxa"/>
              <w:right w:w="0" w:type="dxa"/>
            </w:tcMar>
          </w:tcPr>
          <w:p w14:paraId="57A3D6A8" w14:textId="77777777" w:rsidR="004D45A4" w:rsidRPr="00CE57CF" w:rsidRDefault="004D45A4" w:rsidP="004D45A4">
            <w:pPr>
              <w:tabs>
                <w:tab w:val="left" w:pos="567"/>
              </w:tabs>
              <w:spacing w:before="40" w:after="40"/>
              <w:ind w:left="28"/>
              <w:jc w:val="center"/>
              <w:rPr>
                <w:rFonts w:ascii="Times New Roman" w:hAnsi="Times New Roman"/>
                <w:color w:val="000000"/>
                <w:szCs w:val="22"/>
              </w:rPr>
            </w:pPr>
          </w:p>
        </w:tc>
        <w:tc>
          <w:tcPr>
            <w:tcW w:w="1203" w:type="dxa"/>
          </w:tcPr>
          <w:p w14:paraId="436ECF10" w14:textId="77777777" w:rsidR="004D45A4" w:rsidRPr="00CE57CF" w:rsidRDefault="004D45A4" w:rsidP="004D45A4">
            <w:pPr>
              <w:tabs>
                <w:tab w:val="left" w:pos="567"/>
              </w:tabs>
              <w:spacing w:before="40" w:after="40"/>
              <w:rPr>
                <w:rFonts w:ascii="Times New Roman" w:hAnsi="Times New Roman"/>
                <w:color w:val="000000"/>
                <w:szCs w:val="22"/>
              </w:rPr>
            </w:pPr>
          </w:p>
        </w:tc>
        <w:tc>
          <w:tcPr>
            <w:tcW w:w="1913" w:type="dxa"/>
            <w:shd w:val="clear" w:color="auto" w:fill="auto"/>
            <w:tcMar>
              <w:left w:w="0" w:type="dxa"/>
              <w:right w:w="0" w:type="dxa"/>
            </w:tcMar>
          </w:tcPr>
          <w:p w14:paraId="0D0A5F19" w14:textId="77777777" w:rsidR="004D45A4" w:rsidRPr="00CE57CF" w:rsidRDefault="004D45A4" w:rsidP="004D45A4">
            <w:pPr>
              <w:tabs>
                <w:tab w:val="left" w:pos="567"/>
              </w:tabs>
              <w:spacing w:before="40" w:after="40"/>
              <w:rPr>
                <w:rFonts w:ascii="Times New Roman" w:hAnsi="Times New Roman"/>
                <w:color w:val="000000"/>
                <w:szCs w:val="22"/>
              </w:rPr>
            </w:pPr>
          </w:p>
        </w:tc>
        <w:tc>
          <w:tcPr>
            <w:tcW w:w="1399" w:type="dxa"/>
          </w:tcPr>
          <w:p w14:paraId="61EF0418" w14:textId="77777777" w:rsidR="004D45A4" w:rsidRPr="00CE57CF" w:rsidRDefault="004D45A4" w:rsidP="004D45A4">
            <w:pPr>
              <w:tabs>
                <w:tab w:val="left" w:pos="567"/>
              </w:tabs>
              <w:spacing w:before="40" w:after="40"/>
              <w:rPr>
                <w:rFonts w:ascii="Times New Roman" w:hAnsi="Times New Roman"/>
                <w:color w:val="000000"/>
                <w:szCs w:val="22"/>
              </w:rPr>
            </w:pPr>
          </w:p>
        </w:tc>
        <w:tc>
          <w:tcPr>
            <w:tcW w:w="1489" w:type="dxa"/>
          </w:tcPr>
          <w:p w14:paraId="297CE789" w14:textId="77777777" w:rsidR="004D45A4" w:rsidRPr="00CE57CF" w:rsidRDefault="004D45A4" w:rsidP="004D45A4">
            <w:pPr>
              <w:tabs>
                <w:tab w:val="left" w:pos="567"/>
              </w:tabs>
              <w:spacing w:before="40" w:after="40"/>
              <w:rPr>
                <w:rFonts w:ascii="Times New Roman" w:hAnsi="Times New Roman"/>
                <w:color w:val="000000"/>
                <w:szCs w:val="22"/>
              </w:rPr>
            </w:pPr>
          </w:p>
        </w:tc>
        <w:tc>
          <w:tcPr>
            <w:tcW w:w="1489" w:type="dxa"/>
          </w:tcPr>
          <w:p w14:paraId="37CB2BF1" w14:textId="77777777" w:rsidR="004D45A4" w:rsidRPr="00CE57CF" w:rsidRDefault="004D45A4" w:rsidP="004D45A4">
            <w:pPr>
              <w:tabs>
                <w:tab w:val="left" w:pos="567"/>
              </w:tabs>
              <w:spacing w:before="40" w:after="40"/>
              <w:rPr>
                <w:rFonts w:ascii="Times New Roman" w:hAnsi="Times New Roman"/>
                <w:color w:val="000000"/>
                <w:szCs w:val="22"/>
              </w:rPr>
            </w:pPr>
          </w:p>
        </w:tc>
        <w:tc>
          <w:tcPr>
            <w:tcW w:w="1256" w:type="dxa"/>
          </w:tcPr>
          <w:p w14:paraId="086186BC" w14:textId="77777777" w:rsidR="004D45A4" w:rsidRPr="00CE57CF" w:rsidRDefault="004D45A4" w:rsidP="004D45A4">
            <w:pPr>
              <w:tabs>
                <w:tab w:val="left" w:pos="567"/>
              </w:tabs>
              <w:spacing w:before="40" w:after="40"/>
              <w:rPr>
                <w:rFonts w:ascii="Times New Roman" w:hAnsi="Times New Roman"/>
                <w:color w:val="000000"/>
                <w:szCs w:val="22"/>
              </w:rPr>
            </w:pPr>
          </w:p>
        </w:tc>
      </w:tr>
      <w:tr w:rsidR="00AF6231" w:rsidRPr="00CE57CF" w14:paraId="4AA10023" w14:textId="77777777" w:rsidTr="00A30CE0">
        <w:trPr>
          <w:cantSplit/>
          <w:jc w:val="center"/>
        </w:trPr>
        <w:tc>
          <w:tcPr>
            <w:tcW w:w="322" w:type="dxa"/>
            <w:tcBorders>
              <w:bottom w:val="single" w:sz="4" w:space="0" w:color="auto"/>
            </w:tcBorders>
            <w:shd w:val="clear" w:color="auto" w:fill="auto"/>
            <w:tcMar>
              <w:left w:w="0" w:type="dxa"/>
              <w:right w:w="0" w:type="dxa"/>
            </w:tcMar>
          </w:tcPr>
          <w:p w14:paraId="179B023E" w14:textId="77777777" w:rsidR="00AF6231" w:rsidRPr="00CE57CF" w:rsidRDefault="00AF6231" w:rsidP="004D45A4">
            <w:pPr>
              <w:tabs>
                <w:tab w:val="left" w:pos="567"/>
              </w:tabs>
              <w:spacing w:before="40" w:after="40"/>
              <w:ind w:left="28"/>
              <w:jc w:val="center"/>
              <w:rPr>
                <w:rFonts w:ascii="Times New Roman" w:hAnsi="Times New Roman"/>
                <w:color w:val="000000"/>
                <w:szCs w:val="22"/>
              </w:rPr>
            </w:pPr>
          </w:p>
        </w:tc>
        <w:tc>
          <w:tcPr>
            <w:tcW w:w="7493" w:type="dxa"/>
            <w:gridSpan w:val="5"/>
            <w:tcBorders>
              <w:bottom w:val="single" w:sz="4" w:space="0" w:color="auto"/>
            </w:tcBorders>
          </w:tcPr>
          <w:p w14:paraId="30B1D12D" w14:textId="77777777" w:rsidR="00AF6231" w:rsidRPr="00CE57CF" w:rsidRDefault="00AF6231" w:rsidP="00B72685">
            <w:pPr>
              <w:tabs>
                <w:tab w:val="left" w:pos="567"/>
              </w:tabs>
              <w:spacing w:before="40" w:after="40"/>
              <w:jc w:val="center"/>
              <w:rPr>
                <w:rFonts w:ascii="Times New Roman" w:hAnsi="Times New Roman"/>
                <w:color w:val="000000"/>
                <w:szCs w:val="22"/>
              </w:rPr>
            </w:pPr>
            <w:r w:rsidRPr="00AF6231">
              <w:rPr>
                <w:rFonts w:ascii="Times New Roman" w:hAnsi="Times New Roman"/>
                <w:b/>
                <w:color w:val="000000"/>
                <w:szCs w:val="22"/>
              </w:rPr>
              <w:t>Total Artikel Yang Diambil</w:t>
            </w:r>
          </w:p>
        </w:tc>
        <w:tc>
          <w:tcPr>
            <w:tcW w:w="1256" w:type="dxa"/>
            <w:tcBorders>
              <w:bottom w:val="single" w:sz="4" w:space="0" w:color="auto"/>
            </w:tcBorders>
          </w:tcPr>
          <w:p w14:paraId="30B27E38" w14:textId="77777777" w:rsidR="00AF6231" w:rsidRPr="00CE57CF" w:rsidRDefault="00AF6231" w:rsidP="00AF6231">
            <w:pPr>
              <w:tabs>
                <w:tab w:val="left" w:pos="567"/>
              </w:tabs>
              <w:spacing w:before="40" w:after="40"/>
              <w:jc w:val="center"/>
              <w:rPr>
                <w:rFonts w:ascii="Times New Roman" w:hAnsi="Times New Roman"/>
                <w:color w:val="000000"/>
                <w:szCs w:val="22"/>
              </w:rPr>
            </w:pPr>
            <w:r>
              <w:rPr>
                <w:rFonts w:ascii="Times New Roman" w:hAnsi="Times New Roman"/>
                <w:color w:val="000000"/>
                <w:szCs w:val="22"/>
              </w:rPr>
              <w:t>30</w:t>
            </w:r>
          </w:p>
        </w:tc>
      </w:tr>
    </w:tbl>
    <w:p w14:paraId="1D8F17BB" w14:textId="77777777" w:rsidR="00F11C28" w:rsidRDefault="00D86100" w:rsidP="00D86100">
      <w:pPr>
        <w:pStyle w:val="BodytextIndented"/>
        <w:tabs>
          <w:tab w:val="left" w:pos="3465"/>
        </w:tabs>
        <w:rPr>
          <w:lang w:val="en-GB"/>
        </w:rPr>
      </w:pPr>
      <w:r>
        <w:rPr>
          <w:lang w:val="en-GB"/>
        </w:rPr>
        <w:tab/>
      </w:r>
    </w:p>
    <w:p w14:paraId="158E32AF" w14:textId="77777777" w:rsidR="00E73187" w:rsidRDefault="00B3562D" w:rsidP="005128A2">
      <w:pPr>
        <w:pStyle w:val="BodytextIndented"/>
        <w:rPr>
          <w:lang w:val="en-GB"/>
        </w:rPr>
      </w:pPr>
      <w:r>
        <w:rPr>
          <w:lang w:val="en-GB"/>
        </w:rPr>
        <w:t>Namun</w:t>
      </w:r>
      <w:r w:rsidR="007017E0">
        <w:rPr>
          <w:lang w:val="en-GB"/>
        </w:rPr>
        <w:t>,</w:t>
      </w:r>
      <w:r w:rsidR="001717DD">
        <w:rPr>
          <w:lang w:val="en-GB"/>
        </w:rPr>
        <w:t xml:space="preserve"> </w:t>
      </w:r>
      <w:r w:rsidR="00D20685">
        <w:rPr>
          <w:lang w:val="en-GB"/>
        </w:rPr>
        <w:t xml:space="preserve">dari tiga puluh artikel, </w:t>
      </w:r>
      <w:r w:rsidR="00DE3961">
        <w:rPr>
          <w:lang w:val="en-GB"/>
        </w:rPr>
        <w:t>tujuh belas artikel bermasalah</w:t>
      </w:r>
      <w:r w:rsidR="001717DD">
        <w:rPr>
          <w:lang w:val="en-GB"/>
        </w:rPr>
        <w:t>,</w:t>
      </w:r>
      <w:r w:rsidR="00A02C47">
        <w:rPr>
          <w:lang w:val="en-GB"/>
        </w:rPr>
        <w:t xml:space="preserve"> </w:t>
      </w:r>
      <w:r w:rsidR="00DE3961">
        <w:rPr>
          <w:lang w:val="en-GB"/>
        </w:rPr>
        <w:t xml:space="preserve">permasalahannya adalah pada </w:t>
      </w:r>
      <w:r w:rsidR="001717DD">
        <w:rPr>
          <w:lang w:val="en-GB"/>
        </w:rPr>
        <w:t>responden</w:t>
      </w:r>
      <w:r w:rsidR="00691DF1">
        <w:rPr>
          <w:lang w:val="en-GB"/>
        </w:rPr>
        <w:t>.</w:t>
      </w:r>
      <w:r w:rsidR="00D024B2">
        <w:rPr>
          <w:lang w:val="en-GB"/>
        </w:rPr>
        <w:t xml:space="preserve"> Beberapa r</w:t>
      </w:r>
      <w:r w:rsidR="009A4014">
        <w:rPr>
          <w:lang w:val="en-GB"/>
        </w:rPr>
        <w:t>esponden</w:t>
      </w:r>
      <w:r w:rsidR="00A02C47">
        <w:rPr>
          <w:lang w:val="en-GB"/>
        </w:rPr>
        <w:t xml:space="preserve"> </w:t>
      </w:r>
      <w:r w:rsidR="001717DD">
        <w:rPr>
          <w:lang w:val="en-GB"/>
        </w:rPr>
        <w:t xml:space="preserve">bukan dari pendidikan teknik. </w:t>
      </w:r>
      <w:r w:rsidR="00F56F50">
        <w:rPr>
          <w:lang w:val="en-GB"/>
        </w:rPr>
        <w:t>Selain itu, dua dari tiga puluh</w:t>
      </w:r>
      <w:r w:rsidR="005879ED">
        <w:rPr>
          <w:lang w:val="en-GB"/>
        </w:rPr>
        <w:t xml:space="preserve"> artikel </w:t>
      </w:r>
      <w:r w:rsidR="00F56F50">
        <w:rPr>
          <w:lang w:val="en-GB"/>
        </w:rPr>
        <w:t xml:space="preserve">lainnya </w:t>
      </w:r>
      <w:r w:rsidR="00C81AC5">
        <w:rPr>
          <w:lang w:val="en-GB"/>
        </w:rPr>
        <w:t>tidak terindeks oleh SCOPUS.</w:t>
      </w:r>
      <w:r w:rsidR="00732421">
        <w:rPr>
          <w:lang w:val="en-GB"/>
        </w:rPr>
        <w:t xml:space="preserve"> </w:t>
      </w:r>
      <w:r w:rsidR="005C2EAB">
        <w:rPr>
          <w:lang w:val="en-GB"/>
        </w:rPr>
        <w:t>Hal yang demikian p</w:t>
      </w:r>
      <w:r w:rsidR="006E3B66">
        <w:rPr>
          <w:lang w:val="en-GB"/>
        </w:rPr>
        <w:t>enulis</w:t>
      </w:r>
      <w:r w:rsidR="00C81AC5">
        <w:rPr>
          <w:lang w:val="en-GB"/>
        </w:rPr>
        <w:t xml:space="preserve"> </w:t>
      </w:r>
      <w:r w:rsidR="005C2EAB">
        <w:rPr>
          <w:lang w:val="en-GB"/>
        </w:rPr>
        <w:t>lakukan melalui</w:t>
      </w:r>
      <w:r w:rsidR="00C81AC5">
        <w:rPr>
          <w:lang w:val="en-GB"/>
        </w:rPr>
        <w:t xml:space="preserve"> situs Scimago Journal &amp; Country Rank </w:t>
      </w:r>
      <w:r w:rsidR="006F08EB">
        <w:rPr>
          <w:lang w:val="en-GB"/>
        </w:rPr>
        <w:fldChar w:fldCharType="begin" w:fldLock="1"/>
      </w:r>
      <w:r w:rsidR="009D149D">
        <w:rPr>
          <w:lang w:val="en-GB"/>
        </w:rPr>
        <w:instrText>ADDIN CSL_CITATION {"citationItems":[{"id":"ITEM-1","itemData":{"URL":"https://www.scimagojr.com/","author":[{"dropping-particle":"","family":"Scimago Jr","given":"","non-dropping-particle":"","parse-names":false,"suffix":""}],"id":"ITEM-1","issued":{"date-parts":[["0"]]},"title":"Scimago Journal &amp; Country Rank","type":"webpage"},"uris":["http://www.mendeley.com/documents/?uuid=0cc19f60-795b-484d-a528-4eee9db695b2"]}],"mendeley":{"formattedCitation":"[10]","plainTextFormattedCitation":"[10]","previouslyFormattedCitation":"[10]"},"properties":{"noteIndex":0},"schema":"https://github.com/citation-style-language/schema/raw/master/csl-citation.json"}</w:instrText>
      </w:r>
      <w:r w:rsidR="006F08EB">
        <w:rPr>
          <w:lang w:val="en-GB"/>
        </w:rPr>
        <w:fldChar w:fldCharType="separate"/>
      </w:r>
      <w:r w:rsidR="006F08EB" w:rsidRPr="006F08EB">
        <w:rPr>
          <w:noProof/>
          <w:lang w:val="en-GB"/>
        </w:rPr>
        <w:t>[10]</w:t>
      </w:r>
      <w:r w:rsidR="006F08EB">
        <w:rPr>
          <w:lang w:val="en-GB"/>
        </w:rPr>
        <w:fldChar w:fldCharType="end"/>
      </w:r>
      <w:r w:rsidR="006E3B66">
        <w:rPr>
          <w:lang w:val="en-GB"/>
        </w:rPr>
        <w:t xml:space="preserve">. </w:t>
      </w:r>
      <w:r w:rsidR="00D41B33">
        <w:rPr>
          <w:lang w:val="en-GB"/>
        </w:rPr>
        <w:t>Dalam rangka</w:t>
      </w:r>
      <w:r w:rsidR="00DB325B">
        <w:rPr>
          <w:lang w:val="en-GB"/>
        </w:rPr>
        <w:t xml:space="preserve"> mengantisipasi hal tersebut, penulis men</w:t>
      </w:r>
      <w:r w:rsidR="00D41B33">
        <w:rPr>
          <w:lang w:val="en-GB"/>
        </w:rPr>
        <w:t>cari kembali</w:t>
      </w:r>
      <w:r w:rsidR="000519C5">
        <w:rPr>
          <w:lang w:val="en-GB"/>
        </w:rPr>
        <w:t xml:space="preserve"> </w:t>
      </w:r>
      <w:r w:rsidR="00D41B33">
        <w:rPr>
          <w:lang w:val="en-GB"/>
        </w:rPr>
        <w:t>sembilan belas</w:t>
      </w:r>
      <w:r w:rsidR="00DB325B">
        <w:rPr>
          <w:lang w:val="en-GB"/>
        </w:rPr>
        <w:t xml:space="preserve"> artikel melalui bantuan Google Scholar dengan kata kunci yang sama. </w:t>
      </w:r>
      <w:r w:rsidR="00C905E1">
        <w:rPr>
          <w:lang w:val="en-GB"/>
        </w:rPr>
        <w:t>Sembilan belas artikel berhasil ditemukan, diantaranya dari publisher yang berbeda</w:t>
      </w:r>
      <w:r w:rsidR="00C5069A">
        <w:rPr>
          <w:lang w:val="en-GB"/>
        </w:rPr>
        <w:t xml:space="preserve">, </w:t>
      </w:r>
      <w:r w:rsidR="00C905E1">
        <w:rPr>
          <w:lang w:val="en-GB"/>
        </w:rPr>
        <w:t>yaitu</w:t>
      </w:r>
      <w:r w:rsidR="00C5069A">
        <w:rPr>
          <w:lang w:val="en-GB"/>
        </w:rPr>
        <w:t xml:space="preserve"> Semantic Scholar, MDPI, Research Online Goldsmiths University of London, ACM Digital Library, dan SAGE Journals. </w:t>
      </w:r>
      <w:r w:rsidR="003D2DCB">
        <w:rPr>
          <w:lang w:val="en-GB"/>
        </w:rPr>
        <w:tab/>
      </w:r>
    </w:p>
    <w:p w14:paraId="0B3B1D93" w14:textId="77777777" w:rsidR="00775EBA" w:rsidRPr="00AF371F" w:rsidRDefault="00DC38F0" w:rsidP="00AF371F">
      <w:pPr>
        <w:pStyle w:val="Section"/>
      </w:pPr>
      <w:r>
        <w:t xml:space="preserve">Diskusi dan </w:t>
      </w:r>
      <w:r w:rsidR="009F5DA1">
        <w:t>Hasil</w:t>
      </w:r>
    </w:p>
    <w:p w14:paraId="75EA3424" w14:textId="77777777" w:rsidR="00AF371F" w:rsidRDefault="00684D8D" w:rsidP="00653F80">
      <w:pPr>
        <w:pStyle w:val="BodytextIndented"/>
        <w:tabs>
          <w:tab w:val="left" w:pos="2847"/>
        </w:tabs>
        <w:rPr>
          <w:lang w:val="en-GB"/>
        </w:rPr>
      </w:pPr>
      <w:r>
        <w:rPr>
          <w:lang w:val="en-GB"/>
        </w:rPr>
        <w:t>Dalam rangka memudahkan pembaca untuk mengetahui tiga puluh artikel yang diambil</w:t>
      </w:r>
      <w:r w:rsidR="00AF371F">
        <w:rPr>
          <w:lang w:val="en-GB"/>
        </w:rPr>
        <w:t>, penulis membuat rinciannya dalam bentuk tabel yang terdiri dari nomor artikel, penulis, judul penelitian</w:t>
      </w:r>
      <w:r w:rsidR="00F92DA6">
        <w:rPr>
          <w:lang w:val="en-GB"/>
        </w:rPr>
        <w:t>, dan tahun terbit</w:t>
      </w:r>
      <w:r w:rsidR="00AF371F">
        <w:rPr>
          <w:lang w:val="en-GB"/>
        </w:rPr>
        <w:t>.</w:t>
      </w:r>
    </w:p>
    <w:p w14:paraId="34DF3B92" w14:textId="77777777" w:rsidR="00D55C77" w:rsidRDefault="00D55C77" w:rsidP="00653F80">
      <w:pPr>
        <w:pStyle w:val="BodytextIndented"/>
        <w:tabs>
          <w:tab w:val="left" w:pos="2847"/>
        </w:tabs>
        <w:rPr>
          <w:lang w:val="en-GB"/>
        </w:rPr>
      </w:pPr>
    </w:p>
    <w:p w14:paraId="72FD187E" w14:textId="77777777" w:rsidR="0046322E" w:rsidRDefault="00EB12BD" w:rsidP="00D55C77">
      <w:pPr>
        <w:pStyle w:val="TableCaptionCentred"/>
        <w:ind w:left="28"/>
      </w:pPr>
      <w:r>
        <w:rPr>
          <w:rFonts w:ascii="Times New Roman" w:hAnsi="Times New Roman"/>
          <w:b/>
        </w:rPr>
        <w:t>Table 6</w:t>
      </w:r>
      <w:r w:rsidR="00D55C77" w:rsidRPr="00CE57CF">
        <w:rPr>
          <w:rFonts w:ascii="Times New Roman" w:hAnsi="Times New Roman"/>
          <w:b/>
        </w:rPr>
        <w:t>.</w:t>
      </w:r>
      <w:r>
        <w:rPr>
          <w:rFonts w:ascii="Times New Roman" w:hAnsi="Times New Roman"/>
        </w:rPr>
        <w:t xml:space="preserve"> </w:t>
      </w:r>
      <w:r w:rsidR="00C60216">
        <w:rPr>
          <w:rFonts w:ascii="Times New Roman" w:hAnsi="Times New Roman"/>
        </w:rPr>
        <w:t>Deskripsi Tiga Puluh Artikel</w:t>
      </w:r>
    </w:p>
    <w:tbl>
      <w:tblPr>
        <w:tblW w:w="0" w:type="auto"/>
        <w:jc w:val="center"/>
        <w:tblCellMar>
          <w:left w:w="0" w:type="dxa"/>
          <w:right w:w="0" w:type="dxa"/>
        </w:tblCellMar>
        <w:tblLook w:val="01E0" w:firstRow="1" w:lastRow="1" w:firstColumn="1" w:lastColumn="1" w:noHBand="0" w:noVBand="0"/>
      </w:tblPr>
      <w:tblGrid>
        <w:gridCol w:w="709"/>
        <w:gridCol w:w="2835"/>
        <w:gridCol w:w="3827"/>
        <w:gridCol w:w="1560"/>
      </w:tblGrid>
      <w:tr w:rsidR="00E530E4" w:rsidRPr="00F77539" w14:paraId="2C9D5E75" w14:textId="77777777" w:rsidTr="00A96477">
        <w:trPr>
          <w:cantSplit/>
          <w:jc w:val="center"/>
        </w:trPr>
        <w:tc>
          <w:tcPr>
            <w:tcW w:w="709" w:type="dxa"/>
            <w:tcBorders>
              <w:top w:val="single" w:sz="6" w:space="0" w:color="auto"/>
              <w:bottom w:val="single" w:sz="4" w:space="0" w:color="auto"/>
            </w:tcBorders>
            <w:shd w:val="clear" w:color="auto" w:fill="auto"/>
            <w:tcMar>
              <w:left w:w="0" w:type="dxa"/>
              <w:right w:w="0" w:type="dxa"/>
            </w:tcMar>
          </w:tcPr>
          <w:p w14:paraId="72A18C69" w14:textId="77777777" w:rsidR="00BD31C2" w:rsidRPr="00F77539" w:rsidRDefault="00BD31C2" w:rsidP="00F92DA6">
            <w:pPr>
              <w:tabs>
                <w:tab w:val="left" w:pos="567"/>
              </w:tabs>
              <w:spacing w:before="40" w:after="40"/>
              <w:ind w:left="28"/>
              <w:jc w:val="center"/>
              <w:rPr>
                <w:rFonts w:ascii="Times New Roman" w:hAnsi="Times New Roman"/>
                <w:b/>
                <w:color w:val="000000"/>
                <w:szCs w:val="22"/>
              </w:rPr>
            </w:pPr>
            <w:r w:rsidRPr="00F77539">
              <w:rPr>
                <w:rFonts w:ascii="Times New Roman" w:hAnsi="Times New Roman"/>
                <w:b/>
                <w:color w:val="000000"/>
                <w:szCs w:val="22"/>
              </w:rPr>
              <w:t>No</w:t>
            </w:r>
            <w:r>
              <w:rPr>
                <w:rFonts w:ascii="Times New Roman" w:hAnsi="Times New Roman"/>
                <w:b/>
                <w:color w:val="000000"/>
                <w:szCs w:val="22"/>
              </w:rPr>
              <w:t xml:space="preserve"> Artikel</w:t>
            </w:r>
          </w:p>
        </w:tc>
        <w:tc>
          <w:tcPr>
            <w:tcW w:w="2835" w:type="dxa"/>
            <w:tcBorders>
              <w:top w:val="single" w:sz="6" w:space="0" w:color="auto"/>
              <w:bottom w:val="single" w:sz="4" w:space="0" w:color="auto"/>
            </w:tcBorders>
          </w:tcPr>
          <w:p w14:paraId="3A94950D" w14:textId="77777777" w:rsidR="00BD31C2" w:rsidRPr="00F77539" w:rsidRDefault="00BD31C2" w:rsidP="00F92DA6">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Penulis</w:t>
            </w:r>
          </w:p>
        </w:tc>
        <w:tc>
          <w:tcPr>
            <w:tcW w:w="3827" w:type="dxa"/>
            <w:tcBorders>
              <w:top w:val="single" w:sz="6" w:space="0" w:color="auto"/>
              <w:bottom w:val="single" w:sz="4" w:space="0" w:color="auto"/>
            </w:tcBorders>
            <w:shd w:val="clear" w:color="auto" w:fill="auto"/>
            <w:tcMar>
              <w:left w:w="0" w:type="dxa"/>
              <w:right w:w="0" w:type="dxa"/>
            </w:tcMar>
          </w:tcPr>
          <w:p w14:paraId="7126E5C4" w14:textId="77777777" w:rsidR="00BD31C2" w:rsidRPr="00F77539" w:rsidRDefault="00BD31C2" w:rsidP="00F92DA6">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Judul Penelitian</w:t>
            </w:r>
          </w:p>
        </w:tc>
        <w:tc>
          <w:tcPr>
            <w:tcW w:w="1560" w:type="dxa"/>
            <w:tcBorders>
              <w:top w:val="single" w:sz="6" w:space="0" w:color="auto"/>
              <w:bottom w:val="single" w:sz="4" w:space="0" w:color="auto"/>
            </w:tcBorders>
          </w:tcPr>
          <w:p w14:paraId="7C498C6E" w14:textId="77777777" w:rsidR="00BD31C2" w:rsidRDefault="00BD31C2" w:rsidP="00F92DA6">
            <w:pPr>
              <w:tabs>
                <w:tab w:val="left" w:pos="567"/>
                <w:tab w:val="left" w:pos="2460"/>
                <w:tab w:val="center" w:pos="2778"/>
              </w:tabs>
              <w:spacing w:before="40" w:after="40"/>
              <w:ind w:left="28"/>
              <w:jc w:val="center"/>
              <w:rPr>
                <w:rFonts w:ascii="Times New Roman" w:hAnsi="Times New Roman"/>
                <w:b/>
                <w:color w:val="000000"/>
                <w:szCs w:val="22"/>
              </w:rPr>
            </w:pPr>
            <w:r>
              <w:rPr>
                <w:rFonts w:ascii="Times New Roman" w:hAnsi="Times New Roman"/>
                <w:b/>
                <w:color w:val="000000"/>
                <w:szCs w:val="22"/>
              </w:rPr>
              <w:t>Tahun Terbit</w:t>
            </w:r>
          </w:p>
        </w:tc>
      </w:tr>
      <w:tr w:rsidR="00E530E4" w14:paraId="16803766" w14:textId="77777777" w:rsidTr="00A96477">
        <w:trPr>
          <w:cantSplit/>
          <w:jc w:val="center"/>
        </w:trPr>
        <w:tc>
          <w:tcPr>
            <w:tcW w:w="709" w:type="dxa"/>
            <w:tcBorders>
              <w:top w:val="single" w:sz="4" w:space="0" w:color="auto"/>
            </w:tcBorders>
            <w:shd w:val="clear" w:color="auto" w:fill="auto"/>
            <w:tcMar>
              <w:left w:w="0" w:type="dxa"/>
              <w:right w:w="0" w:type="dxa"/>
            </w:tcMar>
          </w:tcPr>
          <w:p w14:paraId="2C3D8A25" w14:textId="77777777" w:rsidR="00BD31C2" w:rsidRPr="00454325" w:rsidRDefault="00BD31C2" w:rsidP="00D10D7D">
            <w:pPr>
              <w:pStyle w:val="BodytextIndented"/>
              <w:ind w:firstLine="0"/>
              <w:jc w:val="center"/>
              <w:rPr>
                <w:lang w:val="en-GB"/>
              </w:rPr>
            </w:pPr>
            <w:r w:rsidRPr="00454325">
              <w:rPr>
                <w:lang w:val="en-GB"/>
              </w:rPr>
              <w:t>1</w:t>
            </w:r>
          </w:p>
        </w:tc>
        <w:tc>
          <w:tcPr>
            <w:tcW w:w="2835" w:type="dxa"/>
            <w:tcBorders>
              <w:top w:val="single" w:sz="4" w:space="0" w:color="auto"/>
            </w:tcBorders>
          </w:tcPr>
          <w:p w14:paraId="4FE96689" w14:textId="77777777" w:rsidR="00BD31C2" w:rsidRPr="00ED1960" w:rsidRDefault="00BD31C2" w:rsidP="00D10D7D">
            <w:pPr>
              <w:pStyle w:val="BodytextIndented"/>
              <w:ind w:firstLine="0"/>
              <w:jc w:val="left"/>
              <w:rPr>
                <w:lang w:val="en-GB"/>
              </w:rPr>
            </w:pPr>
            <w:r>
              <w:rPr>
                <w:lang w:val="en-GB"/>
              </w:rPr>
              <w:t>Rodolfo C.Raga Jr. dan Jennifer D. Raga</w:t>
            </w:r>
            <w:r w:rsidR="00884F07">
              <w:rPr>
                <w:lang w:val="en-GB"/>
              </w:rPr>
              <w:t xml:space="preserve"> </w:t>
            </w:r>
            <w:r w:rsidR="00884F07">
              <w:rPr>
                <w:lang w:val="en-GB"/>
              </w:rPr>
              <w:fldChar w:fldCharType="begin" w:fldLock="1"/>
            </w:r>
            <w:r w:rsidR="00884F07">
              <w:rPr>
                <w:lang w:val="en-GB"/>
              </w:rPr>
              <w:instrText>ADDIN CSL_CITATION {"citationItems":[{"id":"ITEM-1","itemData":{"DOI":"10.1109/iset.2019.00018","author":[{"dropping-particle":"","family":"Raga","given":"Rodolfo","non-dropping-particle":"","parse-names":false,"suffix":""},{"dropping-particle":"","family":"Raga","given":"Jennifer","non-dropping-particle":"","parse-names":false,"suffix":""}],"container-title":"2019 International Symposium on Educational Technology (ISET)","id":"ITEM-1","issued":{"date-parts":[["2019"]]},"page":"39-43","publisher":"IEEE","title":"Early Prediction of Student Performance in Blended Learning Courses Using Deep Neural Networks","type":"article-journal"},"uris":["http://www.mendeley.com/documents/?uuid=da78de75-4e71-4540-964f-6b7ff713dc57"]}],"mendeley":{"formattedCitation":"[11]","plainTextFormattedCitation":"[11]","previouslyFormattedCitation":"[11]"},"properties":{"noteIndex":0},"schema":"https://github.com/citation-style-language/schema/raw/master/csl-citation.json"}</w:instrText>
            </w:r>
            <w:r w:rsidR="00884F07">
              <w:rPr>
                <w:lang w:val="en-GB"/>
              </w:rPr>
              <w:fldChar w:fldCharType="separate"/>
            </w:r>
            <w:r w:rsidR="00884F07" w:rsidRPr="00884F07">
              <w:rPr>
                <w:noProof/>
                <w:lang w:val="en-GB"/>
              </w:rPr>
              <w:t>[11]</w:t>
            </w:r>
            <w:r w:rsidR="00884F07">
              <w:rPr>
                <w:lang w:val="en-GB"/>
              </w:rPr>
              <w:fldChar w:fldCharType="end"/>
            </w:r>
          </w:p>
        </w:tc>
        <w:tc>
          <w:tcPr>
            <w:tcW w:w="3827" w:type="dxa"/>
            <w:tcBorders>
              <w:top w:val="single" w:sz="4" w:space="0" w:color="auto"/>
            </w:tcBorders>
            <w:shd w:val="clear" w:color="auto" w:fill="auto"/>
            <w:tcMar>
              <w:left w:w="0" w:type="dxa"/>
              <w:right w:w="0" w:type="dxa"/>
            </w:tcMar>
          </w:tcPr>
          <w:p w14:paraId="480F7F58" w14:textId="77777777" w:rsidR="00BD31C2" w:rsidRPr="00BD31C2" w:rsidRDefault="00BD31C2" w:rsidP="00D10D7D">
            <w:pPr>
              <w:pStyle w:val="BodytextIndented"/>
              <w:ind w:left="317" w:firstLine="0"/>
              <w:jc w:val="left"/>
              <w:rPr>
                <w:lang w:val="en-GB"/>
              </w:rPr>
            </w:pPr>
            <w:r w:rsidRPr="00BD31C2">
              <w:rPr>
                <w:lang w:val="en-GB"/>
              </w:rPr>
              <w:t>Early Prediction of Student Performance in Blended Learning Courses using Deep Neural Networks</w:t>
            </w:r>
          </w:p>
        </w:tc>
        <w:tc>
          <w:tcPr>
            <w:tcW w:w="1560" w:type="dxa"/>
            <w:tcBorders>
              <w:top w:val="single" w:sz="4" w:space="0" w:color="auto"/>
            </w:tcBorders>
          </w:tcPr>
          <w:p w14:paraId="15952A30" w14:textId="77777777" w:rsidR="00BD31C2" w:rsidRPr="00692208" w:rsidRDefault="00BD31C2" w:rsidP="00D10D7D">
            <w:pPr>
              <w:pStyle w:val="BodytextIndented"/>
              <w:ind w:left="317" w:firstLine="0"/>
              <w:jc w:val="center"/>
              <w:rPr>
                <w:lang w:val="en-GB"/>
              </w:rPr>
            </w:pPr>
            <w:r w:rsidRPr="00692208">
              <w:rPr>
                <w:lang w:val="en-GB"/>
              </w:rPr>
              <w:t>2019</w:t>
            </w:r>
          </w:p>
        </w:tc>
      </w:tr>
      <w:tr w:rsidR="00E530E4" w14:paraId="6381530D" w14:textId="77777777" w:rsidTr="00A96477">
        <w:trPr>
          <w:cantSplit/>
          <w:jc w:val="center"/>
        </w:trPr>
        <w:tc>
          <w:tcPr>
            <w:tcW w:w="709" w:type="dxa"/>
            <w:shd w:val="clear" w:color="auto" w:fill="auto"/>
            <w:tcMar>
              <w:left w:w="0" w:type="dxa"/>
              <w:right w:w="0" w:type="dxa"/>
            </w:tcMar>
          </w:tcPr>
          <w:p w14:paraId="4FDA143A" w14:textId="77777777" w:rsidR="00BD31C2" w:rsidRPr="00454325" w:rsidRDefault="00BD31C2" w:rsidP="00D10D7D">
            <w:pPr>
              <w:pStyle w:val="BodytextIndented"/>
              <w:ind w:firstLine="0"/>
              <w:jc w:val="center"/>
              <w:rPr>
                <w:lang w:val="en-GB"/>
              </w:rPr>
            </w:pPr>
            <w:r w:rsidRPr="00454325">
              <w:rPr>
                <w:lang w:val="en-GB"/>
              </w:rPr>
              <w:t>2</w:t>
            </w:r>
          </w:p>
        </w:tc>
        <w:tc>
          <w:tcPr>
            <w:tcW w:w="2835" w:type="dxa"/>
          </w:tcPr>
          <w:p w14:paraId="7C46DC8B" w14:textId="77777777" w:rsidR="00BD31C2" w:rsidRPr="00ED1960" w:rsidRDefault="00DE753F" w:rsidP="00D10D7D">
            <w:pPr>
              <w:pStyle w:val="BodytextIndented"/>
              <w:ind w:firstLine="0"/>
              <w:jc w:val="left"/>
              <w:rPr>
                <w:lang w:val="en-GB"/>
              </w:rPr>
            </w:pPr>
            <w:r>
              <w:rPr>
                <w:lang w:val="en-GB"/>
              </w:rPr>
              <w:t>Phil Maguire, Rebecca Maguire, dan Robert Kelly</w:t>
            </w:r>
            <w:r w:rsidR="00884F07">
              <w:rPr>
                <w:lang w:val="en-GB"/>
              </w:rPr>
              <w:t xml:space="preserve"> </w:t>
            </w:r>
            <w:r w:rsidR="00884F07">
              <w:rPr>
                <w:lang w:val="en-GB"/>
              </w:rPr>
              <w:fldChar w:fldCharType="begin" w:fldLock="1"/>
            </w:r>
            <w:r w:rsidR="00884F07">
              <w:rPr>
                <w:lang w:val="en-GB"/>
              </w:rPr>
              <w:instrText>ADDIN CSL_CITATION {"citationItems":[{"id":"ITEM-1","itemData":{"DOI":"10.1080/08993408.2018.1435113","ISSN":"17445175","abstract":"We report on an intervention in which informal programming labs were switched to a weekly machine-evaluated test for a second year Data Structures and Algorithms module. Using the online HackerRank system, we investigated whether greater constructive alignment between course content and the exam would result in lower failure rates. After controlling for known associates, a hierarchical regression model revealed that HackerRank performance was the best predictor of exam performance, accounting for 18% of the variance in scores. Extent of practice and confidence in programming ability emerged as additional significant predictors. Although students expressed negativity towards the automated system, the overall failure rate was halved, and the number of students gaining first class honours tripled. We infer that automatic machine assessment better prepares students for situations where they have to write code by themselves by eliminating reliance on external sources of help and motivating the development of self-sufficiency.","author":[{"dropping-particle":"","family":"Maguire","given":"Phil","non-dropping-particle":"","parse-names":false,"suffix":""},{"dropping-particle":"","family":"Maguire","given":"Rebecca","non-dropping-particle":"","parse-names":false,"suffix":""},{"dropping-particle":"","family":"Kelly","given":"Robert","non-dropping-particle":"","parse-names":false,"suffix":""}],"container-title":"Computer Science Education","id":"ITEM-1","issue":"3-4","issued":{"date-parts":[["2017"]]},"page":"197-214","publisher":"Routledge","title":"Using automatic machine assessment to teach computer programming","type":"article-journal","volume":"27"},"uris":["http://www.mendeley.com/documents/?uuid=01f4485b-25b6-4dc5-8bc5-ff93e9f6d880"]}],"mendeley":{"formattedCitation":"[12]","plainTextFormattedCitation":"[12]","previouslyFormattedCitation":"[12]"},"properties":{"noteIndex":0},"schema":"https://github.com/citation-style-language/schema/raw/master/csl-citation.json"}</w:instrText>
            </w:r>
            <w:r w:rsidR="00884F07">
              <w:rPr>
                <w:lang w:val="en-GB"/>
              </w:rPr>
              <w:fldChar w:fldCharType="separate"/>
            </w:r>
            <w:r w:rsidR="00884F07" w:rsidRPr="00884F07">
              <w:rPr>
                <w:noProof/>
                <w:lang w:val="en-GB"/>
              </w:rPr>
              <w:t>[12]</w:t>
            </w:r>
            <w:r w:rsidR="00884F07">
              <w:rPr>
                <w:lang w:val="en-GB"/>
              </w:rPr>
              <w:fldChar w:fldCharType="end"/>
            </w:r>
          </w:p>
        </w:tc>
        <w:tc>
          <w:tcPr>
            <w:tcW w:w="3827" w:type="dxa"/>
            <w:shd w:val="clear" w:color="auto" w:fill="auto"/>
            <w:tcMar>
              <w:left w:w="0" w:type="dxa"/>
              <w:right w:w="0" w:type="dxa"/>
            </w:tcMar>
          </w:tcPr>
          <w:p w14:paraId="4587BAC7" w14:textId="77777777" w:rsidR="00BD31C2" w:rsidRPr="00F473A2" w:rsidRDefault="001065AA" w:rsidP="00D10D7D">
            <w:pPr>
              <w:pStyle w:val="BodytextIndented"/>
              <w:ind w:left="317" w:firstLine="0"/>
              <w:jc w:val="left"/>
              <w:rPr>
                <w:lang w:val="en-GB"/>
              </w:rPr>
            </w:pPr>
            <w:r w:rsidRPr="00F473A2">
              <w:rPr>
                <w:lang w:val="en-GB"/>
              </w:rPr>
              <w:t>Using automatic machine assessment to teach computer programming</w:t>
            </w:r>
          </w:p>
        </w:tc>
        <w:tc>
          <w:tcPr>
            <w:tcW w:w="1560" w:type="dxa"/>
          </w:tcPr>
          <w:p w14:paraId="03154EEC" w14:textId="77777777" w:rsidR="00BD31C2" w:rsidRPr="00692208" w:rsidRDefault="00F473A2" w:rsidP="00D10D7D">
            <w:pPr>
              <w:pStyle w:val="BodytextIndented"/>
              <w:ind w:left="317" w:firstLine="0"/>
              <w:jc w:val="center"/>
              <w:rPr>
                <w:lang w:val="en-GB"/>
              </w:rPr>
            </w:pPr>
            <w:r w:rsidRPr="00692208">
              <w:rPr>
                <w:lang w:val="en-GB"/>
              </w:rPr>
              <w:t>2018</w:t>
            </w:r>
          </w:p>
        </w:tc>
      </w:tr>
      <w:tr w:rsidR="00E530E4" w:rsidRPr="00063E4B" w14:paraId="2FFE744E" w14:textId="77777777" w:rsidTr="00A96477">
        <w:trPr>
          <w:cantSplit/>
          <w:trHeight w:val="80"/>
          <w:jc w:val="center"/>
        </w:trPr>
        <w:tc>
          <w:tcPr>
            <w:tcW w:w="709" w:type="dxa"/>
            <w:shd w:val="clear" w:color="auto" w:fill="auto"/>
            <w:tcMar>
              <w:left w:w="0" w:type="dxa"/>
              <w:right w:w="0" w:type="dxa"/>
            </w:tcMar>
          </w:tcPr>
          <w:p w14:paraId="735C1714" w14:textId="77777777" w:rsidR="00BD31C2" w:rsidRPr="00454325" w:rsidRDefault="00BD31C2" w:rsidP="00D10D7D">
            <w:pPr>
              <w:pStyle w:val="BodytextIndented"/>
              <w:ind w:firstLine="0"/>
              <w:jc w:val="center"/>
              <w:rPr>
                <w:lang w:val="en-GB"/>
              </w:rPr>
            </w:pPr>
            <w:r w:rsidRPr="00454325">
              <w:rPr>
                <w:lang w:val="en-GB"/>
              </w:rPr>
              <w:lastRenderedPageBreak/>
              <w:t>3</w:t>
            </w:r>
          </w:p>
        </w:tc>
        <w:tc>
          <w:tcPr>
            <w:tcW w:w="2835" w:type="dxa"/>
          </w:tcPr>
          <w:p w14:paraId="2EEE46B0" w14:textId="77777777" w:rsidR="00BD31C2" w:rsidRPr="00ED1960" w:rsidRDefault="007B3D7E" w:rsidP="00D10D7D">
            <w:pPr>
              <w:pStyle w:val="BodytextIndented"/>
              <w:ind w:firstLine="0"/>
              <w:jc w:val="left"/>
              <w:rPr>
                <w:lang w:val="en-GB"/>
              </w:rPr>
            </w:pPr>
            <w:r>
              <w:rPr>
                <w:lang w:val="en-GB"/>
              </w:rPr>
              <w:t>Abelardo Pardo, Feifei Han, dan Robert A. Ellis</w:t>
            </w:r>
            <w:r w:rsidR="00884F07">
              <w:rPr>
                <w:lang w:val="en-GB"/>
              </w:rPr>
              <w:t xml:space="preserve"> </w:t>
            </w:r>
            <w:r w:rsidR="00884F07">
              <w:rPr>
                <w:lang w:val="en-GB"/>
              </w:rPr>
              <w:fldChar w:fldCharType="begin" w:fldLock="1"/>
            </w:r>
            <w:r w:rsidR="00884F07">
              <w:rPr>
                <w:lang w:val="en-GB"/>
              </w:rPr>
              <w:instrText>ADDIN CSL_CITATION {"citationItems":[{"id":"ITEM-1","itemData":{"DOI":"10.1109/TLT.2016.2639508","ISSN":"19391382","abstract":"Self-regulated learning theories are used to understand the reasons for different levels of university student academic performance. Similarly, learning analytics research proposes the combination of detailed data traces derived from technology-mediated tasks with a variety of algorithms to predict student academic performance. The former approach is designed to provide meaningful pedagogical guidance, while the latter is designed to identify event patterns and relations that can be translated into actionable remediation. The benefits of both approaches have motivated this study to investigate if a combination of the self-report data and data arising from an observation of the engagement of students with online learning events offers a deeper understanding and explanation of why some students achieve relatively higher levels of academic performance. In this paper we explore how to combine data about self-regulated learning skills with observable measures of online activity in a blended learning course to increase predictive capabilities of student academic performance for the purposes of informing teaching and task design. A case study in a course with 145 students showed that the variation of the students' final score for their course is better explained when factors from both approaches are considered. The results point to the potential of adopting a combined use of self-report and observed data to gain a more comprehensive understanding of successful university student learning.","author":[{"dropping-particle":"","family":"Pardo","given":"Abelardo","non-dropping-particle":"","parse-names":false,"suffix":""},{"dropping-particle":"","family":"Han","given":"Feifei","non-dropping-particle":"","parse-names":false,"suffix":""},{"dropping-particle":"","family":"Ellis","given":"Robert A.","non-dropping-particle":"","parse-names":false,"suffix":""}],"container-title":"IEEE Transactions on Learning Technologies","id":"ITEM-1","issue":"1","issued":{"date-parts":[["2017"]]},"page":"82-92","title":"Combining University student self-regulated learning indicators and engagement with online learning events to Predict Academic Performance","type":"article-journal","volume":"10"},"uris":["http://www.mendeley.com/documents/?uuid=9472b012-95c0-4fc6-887d-5443ed0280e9"]}],"mendeley":{"formattedCitation":"[13]","plainTextFormattedCitation":"[13]","previouslyFormattedCitation":"[13]"},"properties":{"noteIndex":0},"schema":"https://github.com/citation-style-language/schema/raw/master/csl-citation.json"}</w:instrText>
            </w:r>
            <w:r w:rsidR="00884F07">
              <w:rPr>
                <w:lang w:val="en-GB"/>
              </w:rPr>
              <w:fldChar w:fldCharType="separate"/>
            </w:r>
            <w:r w:rsidR="00884F07" w:rsidRPr="00884F07">
              <w:rPr>
                <w:noProof/>
                <w:lang w:val="en-GB"/>
              </w:rPr>
              <w:t>[13]</w:t>
            </w:r>
            <w:r w:rsidR="00884F07">
              <w:rPr>
                <w:lang w:val="en-GB"/>
              </w:rPr>
              <w:fldChar w:fldCharType="end"/>
            </w:r>
          </w:p>
        </w:tc>
        <w:tc>
          <w:tcPr>
            <w:tcW w:w="3827" w:type="dxa"/>
            <w:shd w:val="clear" w:color="auto" w:fill="auto"/>
            <w:tcMar>
              <w:left w:w="0" w:type="dxa"/>
              <w:right w:w="0" w:type="dxa"/>
            </w:tcMar>
          </w:tcPr>
          <w:p w14:paraId="061AA17D" w14:textId="77777777" w:rsidR="00BD31C2" w:rsidRPr="00F473A2" w:rsidRDefault="007B3D7E" w:rsidP="00D10D7D">
            <w:pPr>
              <w:pStyle w:val="BodytextIndented"/>
              <w:ind w:left="317" w:firstLine="0"/>
              <w:jc w:val="left"/>
              <w:rPr>
                <w:lang w:val="en-GB"/>
              </w:rPr>
            </w:pPr>
            <w:r>
              <w:rPr>
                <w:lang w:val="en-GB"/>
              </w:rPr>
              <w:t>Combining University Student Self-regulated Learning Indicators and Engagement with Online Learning Environment Events to Predict Academic Performance</w:t>
            </w:r>
          </w:p>
        </w:tc>
        <w:tc>
          <w:tcPr>
            <w:tcW w:w="1560" w:type="dxa"/>
          </w:tcPr>
          <w:p w14:paraId="46B1D9D4" w14:textId="77777777" w:rsidR="00BD31C2" w:rsidRPr="00692208" w:rsidRDefault="007B3D7E" w:rsidP="00D10D7D">
            <w:pPr>
              <w:pStyle w:val="BodytextIndented"/>
              <w:ind w:left="317" w:firstLine="0"/>
              <w:jc w:val="center"/>
              <w:rPr>
                <w:lang w:val="en-GB"/>
              </w:rPr>
            </w:pPr>
            <w:r w:rsidRPr="00692208">
              <w:rPr>
                <w:lang w:val="en-GB"/>
              </w:rPr>
              <w:t>2016</w:t>
            </w:r>
          </w:p>
        </w:tc>
      </w:tr>
      <w:tr w:rsidR="00E530E4" w14:paraId="35419C31" w14:textId="77777777" w:rsidTr="00A96477">
        <w:trPr>
          <w:cantSplit/>
          <w:jc w:val="center"/>
        </w:trPr>
        <w:tc>
          <w:tcPr>
            <w:tcW w:w="709" w:type="dxa"/>
            <w:shd w:val="clear" w:color="auto" w:fill="auto"/>
            <w:tcMar>
              <w:left w:w="0" w:type="dxa"/>
              <w:right w:w="0" w:type="dxa"/>
            </w:tcMar>
          </w:tcPr>
          <w:p w14:paraId="4FC0A974" w14:textId="77777777" w:rsidR="00BD31C2" w:rsidRPr="00454325" w:rsidRDefault="00BD31C2" w:rsidP="00D10D7D">
            <w:pPr>
              <w:pStyle w:val="BodytextIndented"/>
              <w:ind w:firstLine="0"/>
              <w:jc w:val="center"/>
              <w:rPr>
                <w:lang w:val="en-GB"/>
              </w:rPr>
            </w:pPr>
            <w:r w:rsidRPr="00454325">
              <w:rPr>
                <w:lang w:val="en-GB"/>
              </w:rPr>
              <w:t>4</w:t>
            </w:r>
          </w:p>
        </w:tc>
        <w:tc>
          <w:tcPr>
            <w:tcW w:w="2835" w:type="dxa"/>
          </w:tcPr>
          <w:p w14:paraId="2D31AE2B" w14:textId="77777777" w:rsidR="00BD31C2" w:rsidRPr="00ED1960" w:rsidRDefault="008249F1" w:rsidP="00D10D7D">
            <w:pPr>
              <w:pStyle w:val="BodytextIndented"/>
              <w:ind w:firstLine="0"/>
              <w:jc w:val="left"/>
              <w:rPr>
                <w:lang w:val="en-GB"/>
              </w:rPr>
            </w:pPr>
            <w:r>
              <w:rPr>
                <w:lang w:val="en-GB"/>
              </w:rPr>
              <w:t>Jie Xu, Kyeoung Ho Moon, dan Mihaela van der Schaar</w:t>
            </w:r>
            <w:r w:rsidR="00884F07">
              <w:rPr>
                <w:lang w:val="en-GB"/>
              </w:rPr>
              <w:t xml:space="preserve"> </w:t>
            </w:r>
            <w:r w:rsidR="00884F07">
              <w:rPr>
                <w:lang w:val="en-GB"/>
              </w:rPr>
              <w:fldChar w:fldCharType="begin" w:fldLock="1"/>
            </w:r>
            <w:r w:rsidR="00884F07">
              <w:rPr>
                <w:lang w:val="en-GB"/>
              </w:rPr>
              <w:instrText>ADDIN CSL_CITATION {"citationItems":[{"id":"ITEM-1","itemData":{"DOI":"10.1109/JSTSP.2017.2692560","ISSN":"19324553","abstract":"Accurately predicting students' future performance based on their ongoing academic records is crucial for effectively carrying out necessary pedagogical interventions to ensure students' on-time and satisfactory graduation. Although there is a rich literature on predicting student performance when solving problems or studying for courses using data-driven approaches, predicting student performance in completing degrees (e.g., college programs) is much less studied and faces new challenges: 1) Students differ tremendously in terms of backgrounds and selected courses; 2) courses are not equally informative for making accurate predictions; and 3) students' evolving progress needs to be incorporated into the prediction. In this paper, we develop a novel machine learning method for predicting student performance in degree programs that is able to address these key challenges. The proposed method has two major features. First, a bilayered structure comprising multiple base predictors and a cascade of ensemble predictors is developed for making predictions based on students' evolving performance states. Second, a data-driven approach based on latent factor models and probabilistic matrix factorization is proposed to discover course relevance, which is important for constructing efficient base predictors. Through extensive simulations on an undergraduate student dataset collected over three years at University of California, Los Angeles, we show that the proposed method achieves superior performance to benchmark approaches.","author":[{"dropping-particle":"","family":"Xu","given":"Jie","non-dropping-particle":"","parse-names":false,"suffix":""},{"dropping-particle":"","family":"Moon","given":"Kyeong Ho","non-dropping-particle":"","parse-names":false,"suffix":""},{"dropping-particle":"","family":"Schaar","given":"Mihaela","non-dropping-particle":"Van Der","parse-names":false,"suffix":""}],"container-title":"IEEE Journal on Selected Topics in Signal Processing","id":"ITEM-1","issue":"5","issued":{"date-parts":[["2017"]]},"page":"742-753","title":"A Machine Learning Approach for Tracking and Predicting Student Performance in Degree Programs","type":"article-journal","volume":"11"},"uris":["http://www.mendeley.com/documents/?uuid=44be648b-2ab0-4203-a0fd-14fb32d3ab58"]}],"mendeley":{"formattedCitation":"[3]","plainTextFormattedCitation":"[3]","previouslyFormattedCitation":"[3]"},"properties":{"noteIndex":0},"schema":"https://github.com/citation-style-language/schema/raw/master/csl-citation.json"}</w:instrText>
            </w:r>
            <w:r w:rsidR="00884F07">
              <w:rPr>
                <w:lang w:val="en-GB"/>
              </w:rPr>
              <w:fldChar w:fldCharType="separate"/>
            </w:r>
            <w:r w:rsidR="00884F07" w:rsidRPr="00884F07">
              <w:rPr>
                <w:noProof/>
                <w:lang w:val="en-GB"/>
              </w:rPr>
              <w:t>[3]</w:t>
            </w:r>
            <w:r w:rsidR="00884F07">
              <w:rPr>
                <w:lang w:val="en-GB"/>
              </w:rPr>
              <w:fldChar w:fldCharType="end"/>
            </w:r>
          </w:p>
        </w:tc>
        <w:tc>
          <w:tcPr>
            <w:tcW w:w="3827" w:type="dxa"/>
            <w:shd w:val="clear" w:color="auto" w:fill="auto"/>
            <w:tcMar>
              <w:left w:w="0" w:type="dxa"/>
              <w:right w:w="0" w:type="dxa"/>
            </w:tcMar>
          </w:tcPr>
          <w:p w14:paraId="65F37818" w14:textId="77777777" w:rsidR="00BD31C2" w:rsidRPr="008249F1" w:rsidRDefault="008249F1" w:rsidP="00D10D7D">
            <w:pPr>
              <w:pStyle w:val="BodytextIndented"/>
              <w:ind w:left="317" w:firstLine="0"/>
              <w:jc w:val="left"/>
              <w:rPr>
                <w:lang w:val="en-GB"/>
              </w:rPr>
            </w:pPr>
            <w:r w:rsidRPr="008249F1">
              <w:rPr>
                <w:lang w:val="en-GB"/>
              </w:rPr>
              <w:t>A Machine Learning Approach for Tracking and Predicting Student Performance in Degree Programs</w:t>
            </w:r>
          </w:p>
        </w:tc>
        <w:tc>
          <w:tcPr>
            <w:tcW w:w="1560" w:type="dxa"/>
          </w:tcPr>
          <w:p w14:paraId="48530DB4" w14:textId="77777777" w:rsidR="00BD31C2" w:rsidRPr="00692208" w:rsidRDefault="008249F1" w:rsidP="00D10D7D">
            <w:pPr>
              <w:pStyle w:val="BodytextIndented"/>
              <w:ind w:left="317" w:firstLine="0"/>
              <w:jc w:val="center"/>
              <w:rPr>
                <w:lang w:val="en-GB"/>
              </w:rPr>
            </w:pPr>
            <w:r w:rsidRPr="00692208">
              <w:rPr>
                <w:lang w:val="en-GB"/>
              </w:rPr>
              <w:t>2017</w:t>
            </w:r>
          </w:p>
        </w:tc>
      </w:tr>
      <w:tr w:rsidR="00E530E4" w14:paraId="5635C6B2" w14:textId="77777777" w:rsidTr="00A96477">
        <w:trPr>
          <w:cantSplit/>
          <w:jc w:val="center"/>
        </w:trPr>
        <w:tc>
          <w:tcPr>
            <w:tcW w:w="709" w:type="dxa"/>
            <w:shd w:val="clear" w:color="auto" w:fill="auto"/>
            <w:tcMar>
              <w:left w:w="0" w:type="dxa"/>
              <w:right w:w="0" w:type="dxa"/>
            </w:tcMar>
          </w:tcPr>
          <w:p w14:paraId="3111C98F" w14:textId="77777777" w:rsidR="00BD31C2" w:rsidRPr="00454325" w:rsidRDefault="00BD31C2" w:rsidP="00D10D7D">
            <w:pPr>
              <w:pStyle w:val="BodytextIndented"/>
              <w:ind w:firstLine="0"/>
              <w:jc w:val="center"/>
              <w:rPr>
                <w:lang w:val="en-GB"/>
              </w:rPr>
            </w:pPr>
            <w:r>
              <w:rPr>
                <w:lang w:val="en-GB"/>
              </w:rPr>
              <w:t>5</w:t>
            </w:r>
          </w:p>
        </w:tc>
        <w:tc>
          <w:tcPr>
            <w:tcW w:w="2835" w:type="dxa"/>
          </w:tcPr>
          <w:p w14:paraId="126E50EA" w14:textId="77777777" w:rsidR="00BD31C2" w:rsidRPr="00ED1960" w:rsidRDefault="00A66DB8" w:rsidP="00D10D7D">
            <w:pPr>
              <w:pStyle w:val="BodytextIndented"/>
              <w:ind w:firstLine="0"/>
              <w:jc w:val="left"/>
              <w:rPr>
                <w:lang w:val="en-GB"/>
              </w:rPr>
            </w:pPr>
            <w:r>
              <w:rPr>
                <w:lang w:val="en-GB"/>
              </w:rPr>
              <w:t>Amin Zollanvari, Refik Caglar Kizilirmak, Yau Hee Kho, dan Daniel Hernandez-Torrano</w:t>
            </w:r>
            <w:r w:rsidR="00884F07">
              <w:rPr>
                <w:lang w:val="en-GB"/>
              </w:rPr>
              <w:t xml:space="preserve"> </w:t>
            </w:r>
            <w:r w:rsidR="00884F07">
              <w:rPr>
                <w:lang w:val="en-GB"/>
              </w:rPr>
              <w:fldChar w:fldCharType="begin" w:fldLock="1"/>
            </w:r>
            <w:r w:rsidR="00884F07">
              <w:rPr>
                <w:lang w:val="en-GB"/>
              </w:rPr>
              <w:instrText>ADDIN CSL_CITATION {"citationItems":[{"id":"ITEM-1","itemData":{"DOI":"10.1109/ACCESS.2017.2740980","ISSN":"21693536","abstract":"Predicting students' grades has emerged as a major area of investigation in education due to the desire to identify the underlying factors that influence academic performance. Because of limited success in predicting the grade point average (GPA), most of the prior research has focused on predicting grades in a specific set of classes based on students' prior performances. The issues associated with data-driven models of GPA prediction are further amplified by a small sample size and a relatively large dimensionality of observations in an experiment. In this paper, we utilize the state-of-the-art machine learning techniques to construct and validate a predictive model of GPA solely based on a set of self-regulatory learning behaviors determined in a relatively small-sample experiment. We quantify the predictability of each constituents of the constructed model and discuss its relevance. Ultimately, the goal of grade prediction in similar experiments is to use the constructed models for the design of intervention strategies aimed at helping students at risk of academic failure. In this regard, we lay the mathematical groundwork for defining and detecting probably helpful interventions using a probabilistic predictive model of GPA. We demonstrate the application of this framework by defining basic interventions and detecting those interventions that are probably helpful to students with a low GPA. The use of self-regulatory behaviors is warranted, because the proposed interventions can be easily practiced by students.","author":[{"dropping-particle":"","family":"Zollanvari","given":"Amin","non-dropping-particle":"","parse-names":false,"suffix":""},{"dropping-particle":"","family":"Kizilirmak","given":"Refik Caglar","non-dropping-particle":"","parse-names":false,"suffix":""},{"dropping-particle":"","family":"Kho","given":"Yau Hee","non-dropping-particle":"","parse-names":false,"suffix":""},{"dropping-particle":"","family":"Hernandez-Torrano","given":"Daniel","non-dropping-particle":"","parse-names":false,"suffix":""}],"container-title":"IEEE Access","id":"ITEM-1","issued":{"date-parts":[["2017"]]},"page":"23792-23802","title":"Predicting Students' GPA and Developing Intervention Strategies Based on Self-Regulatory Learning Behaviors","type":"article-journal","volume":"5"},"uris":["http://www.mendeley.com/documents/?uuid=0feec053-3813-40ed-a15e-6f8333d57360"]}],"mendeley":{"formattedCitation":"[14]","plainTextFormattedCitation":"[14]","previouslyFormattedCitation":"[14]"},"properties":{"noteIndex":0},"schema":"https://github.com/citation-style-language/schema/raw/master/csl-citation.json"}</w:instrText>
            </w:r>
            <w:r w:rsidR="00884F07">
              <w:rPr>
                <w:lang w:val="en-GB"/>
              </w:rPr>
              <w:fldChar w:fldCharType="separate"/>
            </w:r>
            <w:r w:rsidR="00884F07" w:rsidRPr="00884F07">
              <w:rPr>
                <w:noProof/>
                <w:lang w:val="en-GB"/>
              </w:rPr>
              <w:t>[14]</w:t>
            </w:r>
            <w:r w:rsidR="00884F07">
              <w:rPr>
                <w:lang w:val="en-GB"/>
              </w:rPr>
              <w:fldChar w:fldCharType="end"/>
            </w:r>
          </w:p>
        </w:tc>
        <w:tc>
          <w:tcPr>
            <w:tcW w:w="3827" w:type="dxa"/>
            <w:shd w:val="clear" w:color="auto" w:fill="auto"/>
            <w:tcMar>
              <w:left w:w="0" w:type="dxa"/>
              <w:right w:w="0" w:type="dxa"/>
            </w:tcMar>
          </w:tcPr>
          <w:p w14:paraId="2D22CBF1" w14:textId="77777777" w:rsidR="00BD31C2" w:rsidRPr="00692208" w:rsidRDefault="00A66DB8" w:rsidP="00D10D7D">
            <w:pPr>
              <w:pStyle w:val="BodytextIndented"/>
              <w:ind w:left="317" w:firstLine="0"/>
              <w:jc w:val="left"/>
              <w:rPr>
                <w:lang w:val="en-GB"/>
              </w:rPr>
            </w:pPr>
            <w:r w:rsidRPr="00692208">
              <w:rPr>
                <w:lang w:val="en-GB"/>
              </w:rPr>
              <w:t>Predicting Students’ GPA and Developing Intervention Strategies Based on Self-Regulatory Learning Behaviors</w:t>
            </w:r>
          </w:p>
        </w:tc>
        <w:tc>
          <w:tcPr>
            <w:tcW w:w="1560" w:type="dxa"/>
          </w:tcPr>
          <w:p w14:paraId="2AF6B977" w14:textId="77777777" w:rsidR="00BD31C2" w:rsidRPr="00692208" w:rsidRDefault="007F5EBA" w:rsidP="00D10D7D">
            <w:pPr>
              <w:pStyle w:val="BodytextIndented"/>
              <w:ind w:left="317" w:firstLine="0"/>
              <w:jc w:val="center"/>
              <w:rPr>
                <w:lang w:val="en-GB"/>
              </w:rPr>
            </w:pPr>
            <w:r w:rsidRPr="00692208">
              <w:rPr>
                <w:lang w:val="en-GB"/>
              </w:rPr>
              <w:t>2017</w:t>
            </w:r>
          </w:p>
        </w:tc>
      </w:tr>
      <w:tr w:rsidR="00E530E4" w14:paraId="7A62DE57" w14:textId="77777777" w:rsidTr="00A96477">
        <w:trPr>
          <w:cantSplit/>
          <w:jc w:val="center"/>
        </w:trPr>
        <w:tc>
          <w:tcPr>
            <w:tcW w:w="709" w:type="dxa"/>
            <w:shd w:val="clear" w:color="auto" w:fill="auto"/>
            <w:tcMar>
              <w:left w:w="0" w:type="dxa"/>
              <w:right w:w="0" w:type="dxa"/>
            </w:tcMar>
          </w:tcPr>
          <w:p w14:paraId="68148AE8" w14:textId="77777777" w:rsidR="00BD31C2" w:rsidRPr="00454325" w:rsidRDefault="00BD31C2" w:rsidP="00D10D7D">
            <w:pPr>
              <w:pStyle w:val="BodytextIndented"/>
              <w:ind w:firstLine="0"/>
              <w:jc w:val="center"/>
              <w:rPr>
                <w:lang w:val="en-GB"/>
              </w:rPr>
            </w:pPr>
            <w:r>
              <w:rPr>
                <w:lang w:val="en-GB"/>
              </w:rPr>
              <w:t>6</w:t>
            </w:r>
          </w:p>
        </w:tc>
        <w:tc>
          <w:tcPr>
            <w:tcW w:w="2835" w:type="dxa"/>
          </w:tcPr>
          <w:p w14:paraId="7721C3DD" w14:textId="77777777" w:rsidR="00BD31C2" w:rsidRPr="00ED1960" w:rsidRDefault="00254BA3" w:rsidP="00D10D7D">
            <w:pPr>
              <w:pStyle w:val="BodytextIndented"/>
              <w:ind w:firstLine="0"/>
              <w:jc w:val="left"/>
              <w:rPr>
                <w:lang w:val="en-GB"/>
              </w:rPr>
            </w:pPr>
            <w:r w:rsidRPr="00254BA3">
              <w:rPr>
                <w:lang w:val="en-GB"/>
              </w:rPr>
              <w:t>Thomas Daniel Ullmann</w:t>
            </w:r>
            <w:r w:rsidR="00884F07">
              <w:rPr>
                <w:lang w:val="en-GB"/>
              </w:rPr>
              <w:t xml:space="preserve"> </w:t>
            </w:r>
            <w:r w:rsidR="00884F07">
              <w:rPr>
                <w:lang w:val="en-GB"/>
              </w:rPr>
              <w:fldChar w:fldCharType="begin" w:fldLock="1"/>
            </w:r>
            <w:r w:rsidR="00884F07">
              <w:rPr>
                <w:lang w:val="en-GB"/>
              </w:rPr>
              <w:instrText>ADDIN CSL_CITATION {"citationItems":[{"id":"ITEM-1","itemData":{"DOI":"10.1007/s40593-019-00174-2","ISSN":"15604306","abstract":"Reflective writing is an important educational practice to train reflective thinking. Currently, researchers must manually analyze these writings, limiting practice and research because the analysis is time and resource consuming. This study evaluates whether machine learning can be used to automate this manual analysis. The study investigates eight categories that are often used in models to assess reflective writing, and the evaluation is based on 76 student essays (5080 sentences) that are largely from third- and second-year health, business, and engineering students. To test the automated analysis of reflection in writings, machine learning models were built based on a random sample of 80% of the sentences. These models were then tested on the remaining 20% of the sentences. Overall, the standardized evaluation shows that five out of eight categories can be detected automatically with substantial or almost perfect reliability, while the other three categories can be detected with moderate reliability (Cohen’s κ ranges between.53 and.85). The accuracies of the automated analysis were on average 10% lower than the accuracies of the manual analysis. These findings enable reflection analytics that is immediate and scalable.","author":[{"dropping-particle":"","family":"Ullmann","given":"Thomas Daniel","non-dropping-particle":"","parse-names":false,"suffix":""}],"container-title":"International Journal of Artificial Intelligence in Education","id":"ITEM-1","issue":"2","issued":{"date-parts":[["2019"]]},"page":"217-257","publisher":"International Journal of Artificial Intelligence in Education","title":"Automated Analysis of Reflection in Writing: Validating Machine Learning Approaches","type":"article-journal","volume":"29"},"uris":["http://www.mendeley.com/documents/?uuid=fef591e5-c9dc-4ef5-830e-b52472552b0c"]}],"mendeley":{"formattedCitation":"[15]","plainTextFormattedCitation":"[15]","previouslyFormattedCitation":"[15]"},"properties":{"noteIndex":0},"schema":"https://github.com/citation-style-language/schema/raw/master/csl-citation.json"}</w:instrText>
            </w:r>
            <w:r w:rsidR="00884F07">
              <w:rPr>
                <w:lang w:val="en-GB"/>
              </w:rPr>
              <w:fldChar w:fldCharType="separate"/>
            </w:r>
            <w:r w:rsidR="00884F07" w:rsidRPr="00884F07">
              <w:rPr>
                <w:noProof/>
                <w:lang w:val="en-GB"/>
              </w:rPr>
              <w:t>[15]</w:t>
            </w:r>
            <w:r w:rsidR="00884F07">
              <w:rPr>
                <w:lang w:val="en-GB"/>
              </w:rPr>
              <w:fldChar w:fldCharType="end"/>
            </w:r>
          </w:p>
        </w:tc>
        <w:tc>
          <w:tcPr>
            <w:tcW w:w="3827" w:type="dxa"/>
            <w:shd w:val="clear" w:color="auto" w:fill="auto"/>
            <w:tcMar>
              <w:left w:w="0" w:type="dxa"/>
              <w:right w:w="0" w:type="dxa"/>
            </w:tcMar>
          </w:tcPr>
          <w:p w14:paraId="6563F077" w14:textId="77777777" w:rsidR="00BD31C2" w:rsidRPr="00692208" w:rsidRDefault="00254BA3" w:rsidP="00D10D7D">
            <w:pPr>
              <w:pStyle w:val="BodytextIndented"/>
              <w:ind w:left="317" w:firstLine="0"/>
              <w:jc w:val="left"/>
              <w:rPr>
                <w:lang w:val="en-GB"/>
              </w:rPr>
            </w:pPr>
            <w:r w:rsidRPr="00692208">
              <w:rPr>
                <w:lang w:val="en-GB"/>
              </w:rPr>
              <w:t>Automated Analysis of Reflection in Writing: Validating Machine Learning Approaches</w:t>
            </w:r>
          </w:p>
        </w:tc>
        <w:tc>
          <w:tcPr>
            <w:tcW w:w="1560" w:type="dxa"/>
          </w:tcPr>
          <w:p w14:paraId="460CF6BF" w14:textId="77777777" w:rsidR="00BD31C2" w:rsidRPr="00692208" w:rsidRDefault="007F5EBA" w:rsidP="00D10D7D">
            <w:pPr>
              <w:pStyle w:val="BodytextIndented"/>
              <w:ind w:left="317" w:firstLine="0"/>
              <w:jc w:val="center"/>
              <w:rPr>
                <w:lang w:val="en-GB"/>
              </w:rPr>
            </w:pPr>
            <w:r w:rsidRPr="00692208">
              <w:rPr>
                <w:lang w:val="en-GB"/>
              </w:rPr>
              <w:t>2019</w:t>
            </w:r>
          </w:p>
        </w:tc>
      </w:tr>
      <w:tr w:rsidR="00E530E4" w14:paraId="2596F204" w14:textId="77777777" w:rsidTr="00A96477">
        <w:trPr>
          <w:cantSplit/>
          <w:jc w:val="center"/>
        </w:trPr>
        <w:tc>
          <w:tcPr>
            <w:tcW w:w="709" w:type="dxa"/>
            <w:shd w:val="clear" w:color="auto" w:fill="auto"/>
            <w:tcMar>
              <w:left w:w="0" w:type="dxa"/>
              <w:right w:w="0" w:type="dxa"/>
            </w:tcMar>
          </w:tcPr>
          <w:p w14:paraId="3DF8B175" w14:textId="77777777" w:rsidR="00BD31C2" w:rsidRPr="00454325" w:rsidRDefault="00BD31C2" w:rsidP="00D10D7D">
            <w:pPr>
              <w:pStyle w:val="BodytextIndented"/>
              <w:ind w:firstLine="0"/>
              <w:jc w:val="center"/>
              <w:rPr>
                <w:lang w:val="en-GB"/>
              </w:rPr>
            </w:pPr>
            <w:r>
              <w:rPr>
                <w:lang w:val="en-GB"/>
              </w:rPr>
              <w:t>7</w:t>
            </w:r>
          </w:p>
        </w:tc>
        <w:tc>
          <w:tcPr>
            <w:tcW w:w="2835" w:type="dxa"/>
          </w:tcPr>
          <w:p w14:paraId="08BCA71B" w14:textId="77777777" w:rsidR="00BD31C2" w:rsidRPr="00ED1960" w:rsidRDefault="00254BA3" w:rsidP="00D10D7D">
            <w:pPr>
              <w:pStyle w:val="BodytextIndented"/>
              <w:ind w:firstLine="0"/>
              <w:jc w:val="left"/>
              <w:rPr>
                <w:lang w:val="en-GB"/>
              </w:rPr>
            </w:pPr>
            <w:r>
              <w:rPr>
                <w:lang w:val="en-GB"/>
              </w:rPr>
              <w:t>Diego Riofrıo-Luzcando, Jaime Ram</w:t>
            </w:r>
            <w:r w:rsidRPr="00254BA3">
              <w:rPr>
                <w:lang w:val="en-GB"/>
              </w:rPr>
              <w:t xml:space="preserve">ırez </w:t>
            </w:r>
            <w:r>
              <w:rPr>
                <w:lang w:val="en-GB"/>
              </w:rPr>
              <w:t>dan</w:t>
            </w:r>
            <w:r w:rsidRPr="00254BA3">
              <w:rPr>
                <w:lang w:val="en-GB"/>
              </w:rPr>
              <w:t xml:space="preserve"> Marta Berrocal-Lobo</w:t>
            </w:r>
            <w:r w:rsidR="00884F07">
              <w:rPr>
                <w:lang w:val="en-GB"/>
              </w:rPr>
              <w:t xml:space="preserve"> </w:t>
            </w:r>
            <w:r w:rsidR="00884F07">
              <w:rPr>
                <w:lang w:val="en-GB"/>
              </w:rPr>
              <w:fldChar w:fldCharType="begin" w:fldLock="1"/>
            </w:r>
            <w:r w:rsidR="00E530E4">
              <w:rPr>
                <w:lang w:val="en-GB"/>
              </w:rPr>
              <w:instrText>ADDIN CSL_CITATION {"citationItems":[{"id":"ITEM-1","itemData":{"DOI":"10.1109/TLT.2017.2658569","ISSN":"19391382","abstract":"Data mining is known to have a potential for predicting user performance. However, there are few studies that explore its potential for predicting student behavior in a procedural training environment. This paper presents a collective student model, which is built from past student logs. These logs are first grouped into clusters. Then, an extended automaton is created for each cluster based on the sequences of events found in the cluster logs. The main objective of this model is to predict the actions of new students for improving the tutoring feedback provided by an intelligent tutoring system. The proposed model has been validated using student logs collected in a 3D virtual laboratory for teaching biotechnology. As a result of this validation, we concluded that the model can provide reasonably good predictions and can support tutoring feedback that is better adapted to each student type.","author":[{"dropping-particle":"","family":"Riofrío-Luzcando","given":"Diego","non-dropping-particle":"","parse-names":false,"suffix":""},{"dropping-particle":"","family":"Ramírez","given":"Jaime","non-dropping-particle":"","parse-names":false,"suffix":""},{"dropping-particle":"","family":"Berrocal-Lobo","given":"Marta","non-dropping-particle":"","parse-names":false,"suffix":""}],"container-title":"IEEE Transactions on Learning Technologies","id":"ITEM-1","issue":"4","issued":{"date-parts":[["2017"]]},"page":"463-474","title":"Predicting student actions in a procedural training environment","type":"article-journal","volume":"10"},"uris":["http://www.mendeley.com/documents/?uuid=bfdd9fbe-bda3-408d-ba02-1b8ce9417c3c"]}],"mendeley":{"formattedCitation":"[16]","plainTextFormattedCitation":"[16]","previouslyFormattedCitation":"[16]"},"properties":{"noteIndex":0},"schema":"https://github.com/citation-style-language/schema/raw/master/csl-citation.json"}</w:instrText>
            </w:r>
            <w:r w:rsidR="00884F07">
              <w:rPr>
                <w:lang w:val="en-GB"/>
              </w:rPr>
              <w:fldChar w:fldCharType="separate"/>
            </w:r>
            <w:r w:rsidR="00884F07" w:rsidRPr="00884F07">
              <w:rPr>
                <w:noProof/>
                <w:lang w:val="en-GB"/>
              </w:rPr>
              <w:t>[16]</w:t>
            </w:r>
            <w:r w:rsidR="00884F07">
              <w:rPr>
                <w:lang w:val="en-GB"/>
              </w:rPr>
              <w:fldChar w:fldCharType="end"/>
            </w:r>
          </w:p>
        </w:tc>
        <w:tc>
          <w:tcPr>
            <w:tcW w:w="3827" w:type="dxa"/>
            <w:shd w:val="clear" w:color="auto" w:fill="auto"/>
            <w:tcMar>
              <w:left w:w="0" w:type="dxa"/>
              <w:right w:w="0" w:type="dxa"/>
            </w:tcMar>
          </w:tcPr>
          <w:p w14:paraId="486362DE" w14:textId="77777777" w:rsidR="00BD31C2" w:rsidRPr="00692208" w:rsidRDefault="00254BA3" w:rsidP="00D10D7D">
            <w:pPr>
              <w:pStyle w:val="BodytextIndented"/>
              <w:ind w:left="317" w:firstLine="0"/>
              <w:jc w:val="left"/>
              <w:rPr>
                <w:lang w:val="en-GB"/>
              </w:rPr>
            </w:pPr>
            <w:r w:rsidRPr="00692208">
              <w:rPr>
                <w:lang w:val="en-GB"/>
              </w:rPr>
              <w:t>Predicting Student Actions in a Procedural Training Environment</w:t>
            </w:r>
          </w:p>
        </w:tc>
        <w:tc>
          <w:tcPr>
            <w:tcW w:w="1560" w:type="dxa"/>
          </w:tcPr>
          <w:p w14:paraId="27D4B0FF" w14:textId="77777777" w:rsidR="00BD31C2" w:rsidRPr="00692208" w:rsidRDefault="007F5EBA" w:rsidP="00D10D7D">
            <w:pPr>
              <w:pStyle w:val="BodytextIndented"/>
              <w:ind w:left="317" w:firstLine="0"/>
              <w:jc w:val="center"/>
              <w:rPr>
                <w:lang w:val="en-GB"/>
              </w:rPr>
            </w:pPr>
            <w:r w:rsidRPr="00692208">
              <w:rPr>
                <w:lang w:val="en-GB"/>
              </w:rPr>
              <w:t>2017</w:t>
            </w:r>
          </w:p>
        </w:tc>
      </w:tr>
      <w:tr w:rsidR="00E530E4" w14:paraId="46576CE1" w14:textId="77777777" w:rsidTr="00A96477">
        <w:trPr>
          <w:cantSplit/>
          <w:jc w:val="center"/>
        </w:trPr>
        <w:tc>
          <w:tcPr>
            <w:tcW w:w="709" w:type="dxa"/>
            <w:shd w:val="clear" w:color="auto" w:fill="auto"/>
            <w:tcMar>
              <w:left w:w="0" w:type="dxa"/>
              <w:right w:w="0" w:type="dxa"/>
            </w:tcMar>
          </w:tcPr>
          <w:p w14:paraId="2ACF52F4" w14:textId="77777777" w:rsidR="00BD31C2" w:rsidRPr="00454325" w:rsidRDefault="00BD31C2" w:rsidP="00D10D7D">
            <w:pPr>
              <w:pStyle w:val="BodytextIndented"/>
              <w:ind w:firstLine="0"/>
              <w:jc w:val="center"/>
              <w:rPr>
                <w:lang w:val="en-GB"/>
              </w:rPr>
            </w:pPr>
            <w:r>
              <w:rPr>
                <w:lang w:val="en-GB"/>
              </w:rPr>
              <w:t>8</w:t>
            </w:r>
          </w:p>
        </w:tc>
        <w:tc>
          <w:tcPr>
            <w:tcW w:w="2835" w:type="dxa"/>
          </w:tcPr>
          <w:p w14:paraId="6EAE29C3" w14:textId="77777777" w:rsidR="00BD31C2" w:rsidRPr="00ED1960" w:rsidRDefault="00BD31C2" w:rsidP="00D10D7D">
            <w:pPr>
              <w:pStyle w:val="BodytextIndented"/>
              <w:ind w:firstLine="0"/>
              <w:jc w:val="left"/>
              <w:rPr>
                <w:lang w:val="en-GB"/>
              </w:rPr>
            </w:pPr>
          </w:p>
        </w:tc>
        <w:tc>
          <w:tcPr>
            <w:tcW w:w="3827" w:type="dxa"/>
            <w:shd w:val="clear" w:color="auto" w:fill="auto"/>
            <w:tcMar>
              <w:left w:w="0" w:type="dxa"/>
              <w:right w:w="0" w:type="dxa"/>
            </w:tcMar>
          </w:tcPr>
          <w:p w14:paraId="2A8516DA" w14:textId="77777777" w:rsidR="00BD31C2" w:rsidRPr="00692208" w:rsidRDefault="00BD31C2" w:rsidP="00D10D7D">
            <w:pPr>
              <w:pStyle w:val="BodytextIndented"/>
              <w:ind w:left="317" w:firstLine="0"/>
              <w:jc w:val="left"/>
              <w:rPr>
                <w:lang w:val="en-GB"/>
              </w:rPr>
            </w:pPr>
          </w:p>
        </w:tc>
        <w:tc>
          <w:tcPr>
            <w:tcW w:w="1560" w:type="dxa"/>
          </w:tcPr>
          <w:p w14:paraId="4ECA6A28" w14:textId="77777777" w:rsidR="00BD31C2" w:rsidRPr="00692208" w:rsidRDefault="00BD31C2" w:rsidP="00D10D7D">
            <w:pPr>
              <w:pStyle w:val="BodytextIndented"/>
              <w:ind w:left="317" w:firstLine="0"/>
              <w:jc w:val="center"/>
              <w:rPr>
                <w:lang w:val="en-GB"/>
              </w:rPr>
            </w:pPr>
          </w:p>
        </w:tc>
      </w:tr>
      <w:tr w:rsidR="00E530E4" w14:paraId="08D4F0D9" w14:textId="77777777" w:rsidTr="00A96477">
        <w:trPr>
          <w:cantSplit/>
          <w:jc w:val="center"/>
        </w:trPr>
        <w:tc>
          <w:tcPr>
            <w:tcW w:w="709" w:type="dxa"/>
            <w:shd w:val="clear" w:color="auto" w:fill="auto"/>
            <w:tcMar>
              <w:left w:w="0" w:type="dxa"/>
              <w:right w:w="0" w:type="dxa"/>
            </w:tcMar>
          </w:tcPr>
          <w:p w14:paraId="22F8C03E" w14:textId="77777777" w:rsidR="00BD31C2" w:rsidRPr="00454325" w:rsidRDefault="00BD31C2" w:rsidP="00D10D7D">
            <w:pPr>
              <w:pStyle w:val="BodytextIndented"/>
              <w:ind w:firstLine="0"/>
              <w:jc w:val="center"/>
              <w:rPr>
                <w:lang w:val="en-GB"/>
              </w:rPr>
            </w:pPr>
            <w:r>
              <w:rPr>
                <w:lang w:val="en-GB"/>
              </w:rPr>
              <w:t>9</w:t>
            </w:r>
          </w:p>
        </w:tc>
        <w:tc>
          <w:tcPr>
            <w:tcW w:w="2835" w:type="dxa"/>
          </w:tcPr>
          <w:p w14:paraId="3BF3CF75" w14:textId="77777777" w:rsidR="00BD31C2" w:rsidRPr="00ED1960" w:rsidRDefault="00D201E7" w:rsidP="00D10D7D">
            <w:pPr>
              <w:pStyle w:val="BodytextIndented"/>
              <w:ind w:firstLine="0"/>
              <w:jc w:val="left"/>
              <w:rPr>
                <w:lang w:val="en-GB"/>
              </w:rPr>
            </w:pPr>
            <w:r>
              <w:rPr>
                <w:lang w:val="en-GB"/>
              </w:rPr>
              <w:t>Ming Liu, Yuqi Wang, Weiwei Xu, Li Liu</w:t>
            </w:r>
            <w:r w:rsidR="00E530E4">
              <w:rPr>
                <w:lang w:val="en-GB"/>
              </w:rPr>
              <w:t xml:space="preserve"> </w:t>
            </w:r>
            <w:r w:rsidR="00E530E4">
              <w:rPr>
                <w:lang w:val="en-GB"/>
              </w:rPr>
              <w:fldChar w:fldCharType="begin" w:fldLock="1"/>
            </w:r>
            <w:r w:rsidR="00E530E4">
              <w:rPr>
                <w:lang w:val="en-GB"/>
              </w:rPr>
              <w:instrText>ADDIN CSL_CITATION {"citationItems":[{"id":"ITEM-1","itemData":{"DOI":"10.4018/IJDET.2017010104","ISSN":"15393119","abstract":"The number of Chinese engineering students has increased greatly since 1999. Rating the quality of these students' English essays has thus become time-consuming and challenging. This paper presents a novel automatic essay scoring algorithm called PSO-SVR, based on a machine learning algorithm, Support Vector Machine for Regression (SVR), and a computational intelligence algorithm, Particle Swarm Optimization, which optimizes the parameters of SVR kernel functions. Three groups of essays, written by chemical, electrical and computer science engineering majors respectively, were used for evaluation. The study result shows that this PSO-SVR outperforms traditional essay scoring algorithms, such as multiple linear regression, support vector machine for regression and K Nearest Neighbor algorithm. It indicates that PSO-SVR is more robust in predicting irregular datasets, because the repeated use of simple content words may result in the low score of an essay, even though the system detects higher cohesion but no spelling error.","author":[{"dropping-particle":"","family":"Liu","given":"Ming","non-dropping-particle":"","parse-names":false,"suffix":""},{"dropping-particle":"","family":"Wang","given":"Yuqi","non-dropping-particle":"","parse-names":false,"suffix":""},{"dropping-particle":"","family":"Xu","given":"Weiwei","non-dropping-particle":"","parse-names":false,"suffix":""},{"dropping-particle":"","family":"Liu","given":"Li","non-dropping-particle":"","parse-names":false,"suffix":""}],"container-title":"International Journal of Distance Education Technologies","id":"ITEM-1","issue":"1","issued":{"date-parts":[["2017"]]},"page":"52-68","title":"Automated scoring of Chinese engineering students' english essays","type":"article-journal","volume":"15"},"uris":["http://www.mendeley.com/documents/?uuid=7987bf87-1edd-46b1-9862-3dff205d92d0"]}],"mendeley":{"formattedCitation":"[17]","plainTextFormattedCitation":"[17]","previouslyFormattedCitation":"[17]"},"properties":{"noteIndex":0},"schema":"https://github.com/citation-style-language/schema/raw/master/csl-citation.json"}</w:instrText>
            </w:r>
            <w:r w:rsidR="00E530E4">
              <w:rPr>
                <w:lang w:val="en-GB"/>
              </w:rPr>
              <w:fldChar w:fldCharType="separate"/>
            </w:r>
            <w:r w:rsidR="00E530E4" w:rsidRPr="00E530E4">
              <w:rPr>
                <w:noProof/>
                <w:lang w:val="en-GB"/>
              </w:rPr>
              <w:t>[17]</w:t>
            </w:r>
            <w:r w:rsidR="00E530E4">
              <w:rPr>
                <w:lang w:val="en-GB"/>
              </w:rPr>
              <w:fldChar w:fldCharType="end"/>
            </w:r>
          </w:p>
        </w:tc>
        <w:tc>
          <w:tcPr>
            <w:tcW w:w="3827" w:type="dxa"/>
            <w:shd w:val="clear" w:color="auto" w:fill="auto"/>
            <w:tcMar>
              <w:left w:w="0" w:type="dxa"/>
              <w:right w:w="0" w:type="dxa"/>
            </w:tcMar>
          </w:tcPr>
          <w:p w14:paraId="136A998B" w14:textId="77777777" w:rsidR="00BD31C2" w:rsidRPr="00692208" w:rsidRDefault="00D201E7" w:rsidP="00D10D7D">
            <w:pPr>
              <w:pStyle w:val="BodytextIndented"/>
              <w:ind w:left="317" w:firstLine="0"/>
              <w:jc w:val="left"/>
              <w:rPr>
                <w:lang w:val="en-GB"/>
              </w:rPr>
            </w:pPr>
            <w:r w:rsidRPr="00692208">
              <w:rPr>
                <w:lang w:val="en-GB"/>
              </w:rPr>
              <w:t>Automated Scoring of Chinese Engineering Students’ English Essays</w:t>
            </w:r>
          </w:p>
        </w:tc>
        <w:tc>
          <w:tcPr>
            <w:tcW w:w="1560" w:type="dxa"/>
          </w:tcPr>
          <w:p w14:paraId="7B911B65" w14:textId="77777777" w:rsidR="00BD31C2" w:rsidRPr="00692208" w:rsidRDefault="007F5EBA" w:rsidP="00D10D7D">
            <w:pPr>
              <w:pStyle w:val="BodytextIndented"/>
              <w:ind w:left="317" w:firstLine="0"/>
              <w:jc w:val="center"/>
              <w:rPr>
                <w:lang w:val="en-GB"/>
              </w:rPr>
            </w:pPr>
            <w:r w:rsidRPr="00692208">
              <w:rPr>
                <w:lang w:val="en-GB"/>
              </w:rPr>
              <w:t>2017</w:t>
            </w:r>
          </w:p>
        </w:tc>
      </w:tr>
      <w:tr w:rsidR="00E530E4" w14:paraId="0BD340B1" w14:textId="77777777" w:rsidTr="00A96477">
        <w:trPr>
          <w:cantSplit/>
          <w:jc w:val="center"/>
        </w:trPr>
        <w:tc>
          <w:tcPr>
            <w:tcW w:w="709" w:type="dxa"/>
            <w:shd w:val="clear" w:color="auto" w:fill="auto"/>
            <w:tcMar>
              <w:left w:w="0" w:type="dxa"/>
              <w:right w:w="0" w:type="dxa"/>
            </w:tcMar>
          </w:tcPr>
          <w:p w14:paraId="6C2871BF" w14:textId="77777777" w:rsidR="00BD31C2" w:rsidRPr="00454325" w:rsidRDefault="00BD31C2" w:rsidP="00D10D7D">
            <w:pPr>
              <w:pStyle w:val="BodytextIndented"/>
              <w:ind w:firstLine="0"/>
              <w:jc w:val="center"/>
              <w:rPr>
                <w:lang w:val="en-GB"/>
              </w:rPr>
            </w:pPr>
            <w:r>
              <w:rPr>
                <w:lang w:val="en-GB"/>
              </w:rPr>
              <w:t>10</w:t>
            </w:r>
          </w:p>
        </w:tc>
        <w:tc>
          <w:tcPr>
            <w:tcW w:w="2835" w:type="dxa"/>
          </w:tcPr>
          <w:p w14:paraId="66A0A013" w14:textId="77777777" w:rsidR="00BD31C2" w:rsidRPr="00ED1960" w:rsidRDefault="000F25A3" w:rsidP="00D10D7D">
            <w:pPr>
              <w:pStyle w:val="BodytextIndented"/>
              <w:ind w:firstLine="0"/>
              <w:jc w:val="left"/>
              <w:rPr>
                <w:lang w:val="en-GB"/>
              </w:rPr>
            </w:pPr>
            <w:r>
              <w:rPr>
                <w:lang w:val="en-GB"/>
              </w:rPr>
              <w:t>Archana Singh</w:t>
            </w:r>
            <w:r w:rsidR="00E530E4">
              <w:rPr>
                <w:lang w:val="en-GB"/>
              </w:rPr>
              <w:t xml:space="preserve"> </w:t>
            </w:r>
            <w:r w:rsidR="00E530E4">
              <w:rPr>
                <w:lang w:val="en-GB"/>
              </w:rPr>
              <w:fldChar w:fldCharType="begin" w:fldLock="1"/>
            </w:r>
            <w:r w:rsidR="00E530E4">
              <w:rPr>
                <w:lang w:val="en-GB"/>
              </w:rPr>
              <w:instrText>ADDIN CSL_CITATION {"citationItems":[{"id":"ITEM-1","itemData":{"DOI":"10.1007/s10639-016-9501-1","ISSN":"15737608","abstract":"The youth power to speak their mind, recommendations and opinions about various issues on social media cannot be ignored. There is a generated by students on social media websites like, facebook, Orkut, twitter etc. This paper focusses on the extraction of knowledge from the data floated by the University students on social websites in different categories. The paper proposed a framework to mine the social media raw data using data mining techniques. The data mining techniques K-means are used to mine the data to extract useful information in education sector. The analytical model can help the educational institutions to develop strategies. The knowledge outcome of this paper is to identify the frequent types of flow and exchange of data by University students. This knowledge can be enhanced by knowing students’ behavior and interests on the social network.","author":[{"dropping-particle":"","family":"Singh","given":"Archana","non-dropping-particle":"","parse-names":false,"suffix":""}],"container-title":"Education and Information Technologies","id":"ITEM-1","issue":"4","issued":{"date-parts":[["2017"]]},"page":"1515-1526","publisher":"Education and Information Technologies","title":"Mining of Social Media data of University students","type":"article-journal","volume":"22"},"uris":["http://www.mendeley.com/documents/?uuid=c10464a1-dd3d-4423-8611-1246e510c545"]}],"mendeley":{"formattedCitation":"[18]","plainTextFormattedCitation":"[18]","previouslyFormattedCitation":"[18]"},"properties":{"noteIndex":0},"schema":"https://github.com/citation-style-language/schema/raw/master/csl-citation.json"}</w:instrText>
            </w:r>
            <w:r w:rsidR="00E530E4">
              <w:rPr>
                <w:lang w:val="en-GB"/>
              </w:rPr>
              <w:fldChar w:fldCharType="separate"/>
            </w:r>
            <w:r w:rsidR="00E530E4" w:rsidRPr="00E530E4">
              <w:rPr>
                <w:noProof/>
                <w:lang w:val="en-GB"/>
              </w:rPr>
              <w:t>[18]</w:t>
            </w:r>
            <w:r w:rsidR="00E530E4">
              <w:rPr>
                <w:lang w:val="en-GB"/>
              </w:rPr>
              <w:fldChar w:fldCharType="end"/>
            </w:r>
          </w:p>
        </w:tc>
        <w:tc>
          <w:tcPr>
            <w:tcW w:w="3827" w:type="dxa"/>
            <w:shd w:val="clear" w:color="auto" w:fill="auto"/>
            <w:tcMar>
              <w:left w:w="0" w:type="dxa"/>
              <w:right w:w="0" w:type="dxa"/>
            </w:tcMar>
          </w:tcPr>
          <w:p w14:paraId="3B29E420" w14:textId="77777777" w:rsidR="00BD31C2" w:rsidRPr="00692208" w:rsidRDefault="000F25A3" w:rsidP="00D10D7D">
            <w:pPr>
              <w:pStyle w:val="BodytextIndented"/>
              <w:ind w:left="317" w:firstLine="0"/>
              <w:jc w:val="left"/>
              <w:rPr>
                <w:lang w:val="en-GB"/>
              </w:rPr>
            </w:pPr>
            <w:r w:rsidRPr="00692208">
              <w:rPr>
                <w:lang w:val="en-GB"/>
              </w:rPr>
              <w:t>Mining of Social Media data of University students</w:t>
            </w:r>
          </w:p>
        </w:tc>
        <w:tc>
          <w:tcPr>
            <w:tcW w:w="1560" w:type="dxa"/>
          </w:tcPr>
          <w:p w14:paraId="512176B1" w14:textId="77777777" w:rsidR="00BD31C2" w:rsidRPr="00692208" w:rsidRDefault="007F5EBA" w:rsidP="00D10D7D">
            <w:pPr>
              <w:pStyle w:val="BodytextIndented"/>
              <w:ind w:left="317" w:firstLine="0"/>
              <w:jc w:val="center"/>
              <w:rPr>
                <w:lang w:val="en-GB"/>
              </w:rPr>
            </w:pPr>
            <w:r w:rsidRPr="00692208">
              <w:rPr>
                <w:lang w:val="en-GB"/>
              </w:rPr>
              <w:t>2016</w:t>
            </w:r>
          </w:p>
        </w:tc>
      </w:tr>
      <w:tr w:rsidR="00E530E4" w14:paraId="6F9BCF39" w14:textId="77777777" w:rsidTr="00A96477">
        <w:trPr>
          <w:cantSplit/>
          <w:jc w:val="center"/>
        </w:trPr>
        <w:tc>
          <w:tcPr>
            <w:tcW w:w="709" w:type="dxa"/>
            <w:shd w:val="clear" w:color="auto" w:fill="auto"/>
            <w:tcMar>
              <w:left w:w="0" w:type="dxa"/>
              <w:right w:w="0" w:type="dxa"/>
            </w:tcMar>
          </w:tcPr>
          <w:p w14:paraId="4265785A" w14:textId="77777777" w:rsidR="00BD31C2" w:rsidRPr="00454325" w:rsidRDefault="00BD31C2" w:rsidP="00D10D7D">
            <w:pPr>
              <w:pStyle w:val="BodytextIndented"/>
              <w:ind w:firstLine="0"/>
              <w:jc w:val="center"/>
              <w:rPr>
                <w:lang w:val="en-GB"/>
              </w:rPr>
            </w:pPr>
            <w:r>
              <w:rPr>
                <w:lang w:val="en-GB"/>
              </w:rPr>
              <w:t>11</w:t>
            </w:r>
          </w:p>
        </w:tc>
        <w:tc>
          <w:tcPr>
            <w:tcW w:w="2835" w:type="dxa"/>
          </w:tcPr>
          <w:p w14:paraId="49C6FB6C" w14:textId="77777777" w:rsidR="00BD31C2" w:rsidRPr="00ED1960" w:rsidRDefault="00B22C86" w:rsidP="00D10D7D">
            <w:pPr>
              <w:pStyle w:val="BodytextIndented"/>
              <w:ind w:firstLine="0"/>
              <w:jc w:val="left"/>
              <w:rPr>
                <w:lang w:val="en-GB"/>
              </w:rPr>
            </w:pPr>
            <w:r>
              <w:rPr>
                <w:lang w:val="en-GB"/>
              </w:rPr>
              <w:t>Ali Yağci dan</w:t>
            </w:r>
            <w:r w:rsidRPr="00B22C86">
              <w:rPr>
                <w:lang w:val="en-GB"/>
              </w:rPr>
              <w:t xml:space="preserve"> Mustafa Çevik</w:t>
            </w:r>
            <w:r w:rsidR="00E530E4">
              <w:rPr>
                <w:lang w:val="en-GB"/>
              </w:rPr>
              <w:t xml:space="preserve"> </w:t>
            </w:r>
            <w:r w:rsidR="00E530E4">
              <w:rPr>
                <w:lang w:val="en-GB"/>
              </w:rPr>
              <w:fldChar w:fldCharType="begin" w:fldLock="1"/>
            </w:r>
            <w:r w:rsidR="00E530E4">
              <w:rPr>
                <w:lang w:val="en-GB"/>
              </w:rPr>
              <w:instrText>ADDIN CSL_CITATION {"citationItems":[{"id":"ITEM-1","itemData":{"DOI":"10.1007/s10639-019-09885-4","ISSN":"15737608","abstract":"This study aims to predict the academic achievements of Turkish and Malaysian vocational and technical high school (VTS) students in science courses (physics, chemistry and biology) through artificial neural networks (ANN) and to put forth the measures to be taken against their failure. The study population consisted of 10th and 11th grade 922 VTS students in Turkey and 1050 VTS students in Malaysia. The study was conducted with the screening model, and a 34-item demographic questionnaire was developed for the collection of data Using the SPSS 24.0, the KR20 reliability coefficient of the questionnaire was found to be.90. The items in the questionnaire that were believed to affect academic achievement were accepted as independent variable/input, and the academic achievement averages of students in the previous year’s physics, chemistry and biology courses were considered as dependent variables/output. Using these parameters, a model was created and the academic achievements of the students were predicted with ANN using the Matlab R2016a program. At the end of the study, a successful academic achievement prediction system was developed with an average 98.0% sensitivity over 922 samples for Turkey and with a 95.7% sensitivity over 1050 samples for Malaysia, and the measures to be taken were determined in order the prevent failure of students.","author":[{"dropping-particle":"","family":"Yağci","given":"Ali","non-dropping-particle":"","parse-names":false,"suffix":""},{"dropping-particle":"","family":"Çevik","given":"Mustafa","non-dropping-particle":"","parse-names":false,"suffix":""}],"container-title":"Education and Information Technologies","id":"ITEM-1","issued":{"date-parts":[["2019"]]},"title":"Prediction of academic achievements of vocational and technical high school (VTS) students in science courses through artificial neural networks (comparison of Turkey and Malaysia)","type":"article-journal"},"uris":["http://www.mendeley.com/documents/?uuid=aed2e2ce-04a6-48f5-92d0-50b6838e55e2"]}],"mendeley":{"formattedCitation":"[19]","plainTextFormattedCitation":"[19]","previouslyFormattedCitation":"[19]"},"properties":{"noteIndex":0},"schema":"https://github.com/citation-style-language/schema/raw/master/csl-citation.json"}</w:instrText>
            </w:r>
            <w:r w:rsidR="00E530E4">
              <w:rPr>
                <w:lang w:val="en-GB"/>
              </w:rPr>
              <w:fldChar w:fldCharType="separate"/>
            </w:r>
            <w:r w:rsidR="00E530E4" w:rsidRPr="00E530E4">
              <w:rPr>
                <w:noProof/>
                <w:lang w:val="en-GB"/>
              </w:rPr>
              <w:t>[19]</w:t>
            </w:r>
            <w:r w:rsidR="00E530E4">
              <w:rPr>
                <w:lang w:val="en-GB"/>
              </w:rPr>
              <w:fldChar w:fldCharType="end"/>
            </w:r>
          </w:p>
        </w:tc>
        <w:tc>
          <w:tcPr>
            <w:tcW w:w="3827" w:type="dxa"/>
            <w:shd w:val="clear" w:color="auto" w:fill="auto"/>
            <w:tcMar>
              <w:left w:w="0" w:type="dxa"/>
              <w:right w:w="0" w:type="dxa"/>
            </w:tcMar>
          </w:tcPr>
          <w:p w14:paraId="71A83932" w14:textId="77777777" w:rsidR="00BD31C2" w:rsidRPr="00692208" w:rsidRDefault="00B22C86" w:rsidP="00D10D7D">
            <w:pPr>
              <w:pStyle w:val="BodytextIndented"/>
              <w:ind w:left="317" w:firstLine="0"/>
              <w:jc w:val="left"/>
              <w:rPr>
                <w:lang w:val="en-GB"/>
              </w:rPr>
            </w:pPr>
            <w:r w:rsidRPr="00692208">
              <w:rPr>
                <w:lang w:val="en-GB"/>
              </w:rPr>
              <w:t>Prediction of academic achievements of vocational</w:t>
            </w:r>
            <w:r w:rsidR="000A3CB0" w:rsidRPr="00692208">
              <w:rPr>
                <w:lang w:val="en-GB"/>
              </w:rPr>
              <w:t xml:space="preserve"> </w:t>
            </w:r>
            <w:r w:rsidRPr="00692208">
              <w:rPr>
                <w:lang w:val="en-GB"/>
              </w:rPr>
              <w:t>and technical high school (VTS) students in science</w:t>
            </w:r>
            <w:r w:rsidR="000A3CB0" w:rsidRPr="00692208">
              <w:rPr>
                <w:lang w:val="en-GB"/>
              </w:rPr>
              <w:t xml:space="preserve"> </w:t>
            </w:r>
            <w:r w:rsidRPr="00692208">
              <w:rPr>
                <w:lang w:val="en-GB"/>
              </w:rPr>
              <w:t>courses through artificial neural networks (comparison</w:t>
            </w:r>
            <w:r w:rsidR="000A3CB0" w:rsidRPr="00692208">
              <w:rPr>
                <w:lang w:val="en-GB"/>
              </w:rPr>
              <w:t xml:space="preserve"> </w:t>
            </w:r>
            <w:r w:rsidRPr="00692208">
              <w:rPr>
                <w:lang w:val="en-GB"/>
              </w:rPr>
              <w:t>of Turkey and Malaysia)</w:t>
            </w:r>
          </w:p>
        </w:tc>
        <w:tc>
          <w:tcPr>
            <w:tcW w:w="1560" w:type="dxa"/>
          </w:tcPr>
          <w:p w14:paraId="5DA720A2" w14:textId="77777777" w:rsidR="00BD31C2" w:rsidRPr="00692208" w:rsidRDefault="007F5EBA" w:rsidP="00D10D7D">
            <w:pPr>
              <w:pStyle w:val="BodytextIndented"/>
              <w:ind w:left="317" w:firstLine="0"/>
              <w:jc w:val="center"/>
              <w:rPr>
                <w:lang w:val="en-GB"/>
              </w:rPr>
            </w:pPr>
            <w:r w:rsidRPr="00692208">
              <w:rPr>
                <w:lang w:val="en-GB"/>
              </w:rPr>
              <w:t>2019</w:t>
            </w:r>
          </w:p>
        </w:tc>
      </w:tr>
      <w:tr w:rsidR="00E530E4" w14:paraId="58DC08B7" w14:textId="77777777" w:rsidTr="00A96477">
        <w:trPr>
          <w:cantSplit/>
          <w:jc w:val="center"/>
        </w:trPr>
        <w:tc>
          <w:tcPr>
            <w:tcW w:w="709" w:type="dxa"/>
            <w:shd w:val="clear" w:color="auto" w:fill="auto"/>
            <w:tcMar>
              <w:left w:w="0" w:type="dxa"/>
              <w:right w:w="0" w:type="dxa"/>
            </w:tcMar>
          </w:tcPr>
          <w:p w14:paraId="4769BEE2" w14:textId="77777777" w:rsidR="00BD31C2" w:rsidRPr="00454325" w:rsidRDefault="00BD31C2" w:rsidP="00D10D7D">
            <w:pPr>
              <w:pStyle w:val="BodytextIndented"/>
              <w:ind w:firstLine="0"/>
              <w:jc w:val="center"/>
              <w:rPr>
                <w:lang w:val="en-GB"/>
              </w:rPr>
            </w:pPr>
            <w:r>
              <w:rPr>
                <w:lang w:val="en-GB"/>
              </w:rPr>
              <w:t>12</w:t>
            </w:r>
          </w:p>
        </w:tc>
        <w:tc>
          <w:tcPr>
            <w:tcW w:w="2835" w:type="dxa"/>
          </w:tcPr>
          <w:p w14:paraId="3ECCC3A3" w14:textId="77777777" w:rsidR="00BD31C2" w:rsidRPr="00ED1960" w:rsidRDefault="00D10FDA" w:rsidP="00D10D7D">
            <w:pPr>
              <w:pStyle w:val="BodytextIndented"/>
              <w:ind w:firstLine="0"/>
              <w:jc w:val="left"/>
              <w:rPr>
                <w:lang w:val="en-GB"/>
              </w:rPr>
            </w:pPr>
            <w:r>
              <w:rPr>
                <w:lang w:val="en-GB"/>
              </w:rPr>
              <w:t xml:space="preserve">Yuri Nieto, Vicente García-Díaz, Carlos Montenegro, dan </w:t>
            </w:r>
            <w:r w:rsidRPr="00D10FDA">
              <w:rPr>
                <w:lang w:val="en-GB"/>
              </w:rPr>
              <w:t>Rubén González Crespo</w:t>
            </w:r>
            <w:r w:rsidR="00E530E4">
              <w:rPr>
                <w:lang w:val="en-GB"/>
              </w:rPr>
              <w:t xml:space="preserve"> </w:t>
            </w:r>
            <w:r w:rsidR="00E530E4">
              <w:rPr>
                <w:lang w:val="en-GB"/>
              </w:rPr>
              <w:fldChar w:fldCharType="begin" w:fldLock="1"/>
            </w:r>
            <w:r w:rsidR="00E530E4">
              <w:rPr>
                <w:lang w:val="en-GB"/>
              </w:rPr>
              <w:instrText>ADDIN CSL_CITATION {"citationItems":[{"id":"ITEM-1","itemData":{"DOI":"10.1007/s00500-018-3064-6","ISSN":"14337479","abstract":"Decisions made by deans and university managers greatly impact the entire academic community as well as society as a whole. In this paper, we present survey results on which academic decisions they concern and the variables involved in them. Using machine learning algorithms, we predicted graduation rates in a real case study to support decision making. Real data from five undergraduate engineering programs at District University Francisco Jose de Caldas in Colombia illustrate our results. The comparison between support vector machine and artificial neural network is held using the confusion matrix and the receiver operating characteristic curve. The algorithm methods and architecture are presented.","author":[{"dropping-particle":"","family":"Nieto","given":"Yuri","non-dropping-particle":"","parse-names":false,"suffix":""},{"dropping-particle":"","family":"García-Díaz","given":"Vicente","non-dropping-particle":"","parse-names":false,"suffix":""},{"dropping-particle":"","family":"Montenegro","given":"Carlos","non-dropping-particle":"","parse-names":false,"suffix":""},{"dropping-particle":"","family":"Crespo","given":"Rubén González","non-dropping-particle":"","parse-names":false,"suffix":""}],"container-title":"Soft Computing","id":"ITEM-1","issue":"12","issued":{"date-parts":[["2019"]]},"page":"4145-4153","publisher":"Springer Berlin Heidelberg","title":"Supporting academic decision making at higher educational institutions using machine learning-based algorithms","type":"article-journal","volume":"23"},"uris":["http://www.mendeley.com/documents/?uuid=8ab439a0-9221-4c43-bc0e-c621d49ac1d6"]}],"mendeley":{"formattedCitation":"[20]","plainTextFormattedCitation":"[20]","previouslyFormattedCitation":"[20]"},"properties":{"noteIndex":0},"schema":"https://github.com/citation-style-language/schema/raw/master/csl-citation.json"}</w:instrText>
            </w:r>
            <w:r w:rsidR="00E530E4">
              <w:rPr>
                <w:lang w:val="en-GB"/>
              </w:rPr>
              <w:fldChar w:fldCharType="separate"/>
            </w:r>
            <w:r w:rsidR="00E530E4" w:rsidRPr="00E530E4">
              <w:rPr>
                <w:noProof/>
                <w:lang w:val="en-GB"/>
              </w:rPr>
              <w:t>[20]</w:t>
            </w:r>
            <w:r w:rsidR="00E530E4">
              <w:rPr>
                <w:lang w:val="en-GB"/>
              </w:rPr>
              <w:fldChar w:fldCharType="end"/>
            </w:r>
          </w:p>
        </w:tc>
        <w:tc>
          <w:tcPr>
            <w:tcW w:w="3827" w:type="dxa"/>
            <w:shd w:val="clear" w:color="auto" w:fill="auto"/>
            <w:tcMar>
              <w:left w:w="0" w:type="dxa"/>
              <w:right w:w="0" w:type="dxa"/>
            </w:tcMar>
          </w:tcPr>
          <w:p w14:paraId="507A0E65" w14:textId="77777777" w:rsidR="00BD31C2" w:rsidRPr="00692208" w:rsidRDefault="00D10FDA" w:rsidP="00D10D7D">
            <w:pPr>
              <w:pStyle w:val="BodytextIndented"/>
              <w:ind w:left="317" w:firstLine="0"/>
              <w:jc w:val="left"/>
              <w:rPr>
                <w:lang w:val="en-GB"/>
              </w:rPr>
            </w:pPr>
            <w:r w:rsidRPr="00692208">
              <w:rPr>
                <w:lang w:val="en-GB"/>
              </w:rPr>
              <w:t>Supporting academic decision making at higher educational institutions using machine learning-based algorithms</w:t>
            </w:r>
          </w:p>
        </w:tc>
        <w:tc>
          <w:tcPr>
            <w:tcW w:w="1560" w:type="dxa"/>
          </w:tcPr>
          <w:p w14:paraId="75870BC9" w14:textId="77777777" w:rsidR="00BD31C2" w:rsidRPr="00692208" w:rsidRDefault="00E7515B" w:rsidP="00D10D7D">
            <w:pPr>
              <w:pStyle w:val="BodytextIndented"/>
              <w:ind w:left="317" w:firstLine="0"/>
              <w:jc w:val="center"/>
              <w:rPr>
                <w:lang w:val="en-GB"/>
              </w:rPr>
            </w:pPr>
            <w:r w:rsidRPr="00692208">
              <w:rPr>
                <w:lang w:val="en-GB"/>
              </w:rPr>
              <w:t>2018</w:t>
            </w:r>
          </w:p>
        </w:tc>
      </w:tr>
      <w:tr w:rsidR="00E530E4" w14:paraId="206EC9A1" w14:textId="77777777" w:rsidTr="00A96477">
        <w:trPr>
          <w:cantSplit/>
          <w:jc w:val="center"/>
        </w:trPr>
        <w:tc>
          <w:tcPr>
            <w:tcW w:w="709" w:type="dxa"/>
            <w:shd w:val="clear" w:color="auto" w:fill="auto"/>
            <w:tcMar>
              <w:left w:w="0" w:type="dxa"/>
              <w:right w:w="0" w:type="dxa"/>
            </w:tcMar>
          </w:tcPr>
          <w:p w14:paraId="0C474780" w14:textId="77777777" w:rsidR="00BD31C2" w:rsidRPr="00454325" w:rsidRDefault="00BD31C2" w:rsidP="00D10D7D">
            <w:pPr>
              <w:pStyle w:val="BodytextIndented"/>
              <w:ind w:firstLine="0"/>
              <w:jc w:val="center"/>
              <w:rPr>
                <w:lang w:val="en-GB"/>
              </w:rPr>
            </w:pPr>
            <w:r>
              <w:rPr>
                <w:lang w:val="en-GB"/>
              </w:rPr>
              <w:t>13</w:t>
            </w:r>
          </w:p>
        </w:tc>
        <w:tc>
          <w:tcPr>
            <w:tcW w:w="2835" w:type="dxa"/>
          </w:tcPr>
          <w:p w14:paraId="258EA602" w14:textId="77777777" w:rsidR="00BD31C2" w:rsidRPr="00ED1960" w:rsidRDefault="00C5631B" w:rsidP="00D10D7D">
            <w:pPr>
              <w:pStyle w:val="BodytextIndented"/>
              <w:ind w:firstLine="0"/>
              <w:jc w:val="left"/>
              <w:rPr>
                <w:lang w:val="en-GB"/>
              </w:rPr>
            </w:pPr>
            <w:r>
              <w:rPr>
                <w:lang w:val="en-GB"/>
              </w:rPr>
              <w:t xml:space="preserve">Daniel Spikol, </w:t>
            </w:r>
            <w:r w:rsidRPr="00C5631B">
              <w:rPr>
                <w:lang w:val="en-GB"/>
              </w:rPr>
              <w:t>Emanuele</w:t>
            </w:r>
            <w:r>
              <w:rPr>
                <w:lang w:val="en-GB"/>
              </w:rPr>
              <w:t xml:space="preserve"> Ruffaldi, </w:t>
            </w:r>
            <w:r w:rsidRPr="00C5631B">
              <w:rPr>
                <w:lang w:val="en-GB"/>
              </w:rPr>
              <w:t>Giacomo</w:t>
            </w:r>
            <w:r>
              <w:rPr>
                <w:lang w:val="en-GB"/>
              </w:rPr>
              <w:t xml:space="preserve"> </w:t>
            </w:r>
            <w:r w:rsidRPr="00C5631B">
              <w:rPr>
                <w:lang w:val="en-GB"/>
              </w:rPr>
              <w:t>Dabisias</w:t>
            </w:r>
            <w:r>
              <w:rPr>
                <w:lang w:val="en-GB"/>
              </w:rPr>
              <w:t xml:space="preserve">, dan </w:t>
            </w:r>
            <w:r w:rsidRPr="00C5631B">
              <w:rPr>
                <w:lang w:val="en-GB"/>
              </w:rPr>
              <w:t>Mutlu</w:t>
            </w:r>
            <w:r>
              <w:rPr>
                <w:lang w:val="en-GB"/>
              </w:rPr>
              <w:t xml:space="preserve"> </w:t>
            </w:r>
            <w:r w:rsidRPr="00C5631B">
              <w:rPr>
                <w:lang w:val="en-GB"/>
              </w:rPr>
              <w:t>Cukurova</w:t>
            </w:r>
            <w:r w:rsidR="00E530E4">
              <w:rPr>
                <w:lang w:val="en-GB"/>
              </w:rPr>
              <w:t xml:space="preserve"> </w:t>
            </w:r>
            <w:r w:rsidR="00E530E4">
              <w:rPr>
                <w:lang w:val="en-GB"/>
              </w:rPr>
              <w:fldChar w:fldCharType="begin" w:fldLock="1"/>
            </w:r>
            <w:r w:rsidR="00E530E4">
              <w:rPr>
                <w:lang w:val="en-GB"/>
              </w:rPr>
              <w:instrText>ADDIN CSL_CITATION {"citationItems":[{"id":"ITEM-1","itemData":{"DOI":"10.1111/jcal.12263","ISSN":"13652729","abstract":"Multimodal learning analytics provides researchers new tools and techniques to capture different types of data from complex learning activities in dynamic learning environments. This paper investigates the use of diverse sensors, including computer vision, user-generated content, and data from the learning objects (physical computing components), to record high-fidelity synchronised multimodal recordings of small groups of learners interacting. We processed and extracted different aspects of the students' interactions to answer the following question: Which features of student group work are good predictors of team success in open-ended tasks with physical computing? To answer this question, we have explored different supervised machine learning approaches (traditional and deep learning techniques) to analyse the data coming from multiple sources. The results illustrate that state-of-the-art computational techniques can be used to generate insights into the \"black box\" of learning in students' project-based activities. The features identified from the analysis show that distance between learners' hands and faces is a strong predictor of students' artefact quality, which can indicate the value of student collaboration. Our research shows that new and promising approaches such as neural networks, and more traditional regression approaches can both be used to classify multimodal learning analytics data, and both have advantages and disadvantages depending on the research questions and contexts being investigated. The work presented here is a significant contribution towards developing techniques to automatically identify the key aspects of students success in project-based learning environments, and to ultimately help teachers provide appropriate and timely support to students in these fundamental aspects.","author":[{"dropping-particle":"","family":"Spikol","given":"Daniel","non-dropping-particle":"","parse-names":false,"suffix":""},{"dropping-particle":"","family":"Ruffaldi","given":"Emanuele","non-dropping-particle":"","parse-names":false,"suffix":""},{"dropping-particle":"","family":"Dabisias","given":"Giacomo","non-dropping-particle":"","parse-names":false,"suffix":""},{"dropping-particle":"","family":"Cukurova","given":"Mutlu","non-dropping-particle":"","parse-names":false,"suffix":""}],"container-title":"Journal of Computer Assisted Learning","id":"ITEM-1","issue":"4","issued":{"date-parts":[["2018"]]},"page":"366-377","title":"Supervised machine learning in multimodal learning analytics for estimating success in project-based learning","type":"article-journal","volume":"34"},"uris":["http://www.mendeley.com/documents/?uuid=9908fd95-58fb-4d15-9bc7-7b5e2e9cd243"]}],"mendeley":{"formattedCitation":"[21]","plainTextFormattedCitation":"[21]","previouslyFormattedCitation":"[21]"},"properties":{"noteIndex":0},"schema":"https://github.com/citation-style-language/schema/raw/master/csl-citation.json"}</w:instrText>
            </w:r>
            <w:r w:rsidR="00E530E4">
              <w:rPr>
                <w:lang w:val="en-GB"/>
              </w:rPr>
              <w:fldChar w:fldCharType="separate"/>
            </w:r>
            <w:r w:rsidR="00E530E4" w:rsidRPr="00E530E4">
              <w:rPr>
                <w:noProof/>
                <w:lang w:val="en-GB"/>
              </w:rPr>
              <w:t>[21]</w:t>
            </w:r>
            <w:r w:rsidR="00E530E4">
              <w:rPr>
                <w:lang w:val="en-GB"/>
              </w:rPr>
              <w:fldChar w:fldCharType="end"/>
            </w:r>
          </w:p>
        </w:tc>
        <w:tc>
          <w:tcPr>
            <w:tcW w:w="3827" w:type="dxa"/>
            <w:shd w:val="clear" w:color="auto" w:fill="auto"/>
            <w:tcMar>
              <w:left w:w="0" w:type="dxa"/>
              <w:right w:w="0" w:type="dxa"/>
            </w:tcMar>
          </w:tcPr>
          <w:p w14:paraId="6C837084" w14:textId="77777777" w:rsidR="00BD31C2" w:rsidRPr="00692208" w:rsidRDefault="00C5631B" w:rsidP="00D10D7D">
            <w:pPr>
              <w:pStyle w:val="BodytextIndented"/>
              <w:ind w:left="317" w:firstLine="0"/>
              <w:jc w:val="left"/>
              <w:rPr>
                <w:lang w:val="en-GB"/>
              </w:rPr>
            </w:pPr>
            <w:r w:rsidRPr="00692208">
              <w:rPr>
                <w:lang w:val="en-GB"/>
              </w:rPr>
              <w:t>Supervised machine learning in multimodal learning analytics for estimating success in project-based learning</w:t>
            </w:r>
          </w:p>
        </w:tc>
        <w:tc>
          <w:tcPr>
            <w:tcW w:w="1560" w:type="dxa"/>
          </w:tcPr>
          <w:p w14:paraId="09807756" w14:textId="77777777" w:rsidR="00BD31C2" w:rsidRPr="00692208" w:rsidRDefault="00E7515B" w:rsidP="00D10D7D">
            <w:pPr>
              <w:pStyle w:val="BodytextIndented"/>
              <w:ind w:left="317" w:firstLine="0"/>
              <w:jc w:val="center"/>
              <w:rPr>
                <w:lang w:val="en-GB"/>
              </w:rPr>
            </w:pPr>
            <w:r w:rsidRPr="00692208">
              <w:rPr>
                <w:lang w:val="en-GB"/>
              </w:rPr>
              <w:t>2018</w:t>
            </w:r>
          </w:p>
        </w:tc>
      </w:tr>
      <w:tr w:rsidR="00E530E4" w14:paraId="7DE30273" w14:textId="77777777" w:rsidTr="00A96477">
        <w:trPr>
          <w:cantSplit/>
          <w:jc w:val="center"/>
        </w:trPr>
        <w:tc>
          <w:tcPr>
            <w:tcW w:w="709" w:type="dxa"/>
            <w:shd w:val="clear" w:color="auto" w:fill="auto"/>
            <w:tcMar>
              <w:left w:w="0" w:type="dxa"/>
              <w:right w:w="0" w:type="dxa"/>
            </w:tcMar>
          </w:tcPr>
          <w:p w14:paraId="5539DF7B" w14:textId="77777777" w:rsidR="00BD31C2" w:rsidRPr="00454325" w:rsidRDefault="00BD31C2" w:rsidP="00D10D7D">
            <w:pPr>
              <w:pStyle w:val="BodytextIndented"/>
              <w:ind w:firstLine="0"/>
              <w:jc w:val="center"/>
              <w:rPr>
                <w:lang w:val="en-GB"/>
              </w:rPr>
            </w:pPr>
            <w:r>
              <w:rPr>
                <w:lang w:val="en-GB"/>
              </w:rPr>
              <w:t>14</w:t>
            </w:r>
          </w:p>
        </w:tc>
        <w:tc>
          <w:tcPr>
            <w:tcW w:w="2835" w:type="dxa"/>
          </w:tcPr>
          <w:p w14:paraId="283F6227" w14:textId="77777777" w:rsidR="00BD31C2" w:rsidRPr="00ED1960" w:rsidRDefault="001A3A9B" w:rsidP="00D10D7D">
            <w:pPr>
              <w:pStyle w:val="BodytextIndented"/>
              <w:ind w:firstLine="0"/>
              <w:jc w:val="left"/>
              <w:rPr>
                <w:lang w:val="en-GB"/>
              </w:rPr>
            </w:pPr>
            <w:r w:rsidRPr="001A3A9B">
              <w:rPr>
                <w:lang w:val="en-GB"/>
              </w:rPr>
              <w:t>Mohamed Mimis, Mohamed El Hajji, Youssef Es-saady, Abdellah Oueld Guejdi, Hassan Douzi, dan Driss Mammass</w:t>
            </w:r>
            <w:r w:rsidR="00E530E4">
              <w:rPr>
                <w:lang w:val="en-GB"/>
              </w:rPr>
              <w:t xml:space="preserve"> </w:t>
            </w:r>
            <w:r w:rsidR="00E530E4">
              <w:rPr>
                <w:lang w:val="en-GB"/>
              </w:rPr>
              <w:fldChar w:fldCharType="begin" w:fldLock="1"/>
            </w:r>
            <w:r w:rsidR="00E530E4">
              <w:rPr>
                <w:lang w:val="en-GB"/>
              </w:rPr>
              <w:instrText>ADDIN CSL_CITATION {"citationItems":[{"id":"ITEM-1","itemData":{"DOI":"10.1007/s10639-018-9838-8","ISBN":"1063901898","ISSN":"15737608","abstract":"The educational recommendation system to provide support for academic guidance and adaptive learning has always been an important issue of research for smart education. A bad guidance can give rise to difficulties in further studies and can be extended to school dropout. This paper explores the potential of Educational Data Mining for academic guidance recommendation by predicting students’ performance which involves analyzing data of students’ records, socio-economic data and of course the student’s motivation. The proposed model was analyzed and tested using student’s data collected from the preparatory classes for “Grandes Ecoles” Reda Slaoui (CPGE) - Morocco. More specifically, it proposes the use of three models that were applied on real data: Decision tree, Naive Bayes, and Neural networks. The data include the classes period (2012–2014 and 2013–2015) of 330 students in specialty the grade Mathematical Physics (MP) and Engineering Sciences (MPSI). The performance results indicate that our framework can make more accurate predictions of students’ performance.","author":[{"dropping-particle":"","family":"Mimis","given":"Mohamed","non-dropping-particle":"","parse-names":false,"suffix":""},{"dropping-particle":"","family":"Hajji","given":"Mohamed","non-dropping-particle":"El","parse-names":false,"suffix":""},{"dropping-particle":"","family":"Es-saady","given":"Youssef","non-dropping-particle":"","parse-names":false,"suffix":""},{"dropping-particle":"","family":"Oueld Guejdi","given":"Abdellah","non-dropping-particle":"","parse-names":false,"suffix":""},{"dropping-particle":"","family":"Douzi","given":"Hassan","non-dropping-particle":"","parse-names":false,"suffix":""},{"dropping-particle":"","family":"Mammass","given":"Driss","non-dropping-particle":"","parse-names":false,"suffix":""}],"container-title":"Education and Information Technologies","id":"ITEM-1","issue":"2","issued":{"date-parts":[["2019"]]},"page":"1379-1393","publisher":"Education and Information Technologies","title":"A framework for smart academic guidance using educational data mining","type":"article-journal","volume":"24"},"uris":["http://www.mendeley.com/documents/?uuid=49573799-8ade-4f3f-9ab1-7673ca18e571"]}],"mendeley":{"formattedCitation":"[22]","plainTextFormattedCitation":"[22]","previouslyFormattedCitation":"[22]"},"properties":{"noteIndex":0},"schema":"https://github.com/citation-style-language/schema/raw/master/csl-citation.json"}</w:instrText>
            </w:r>
            <w:r w:rsidR="00E530E4">
              <w:rPr>
                <w:lang w:val="en-GB"/>
              </w:rPr>
              <w:fldChar w:fldCharType="separate"/>
            </w:r>
            <w:r w:rsidR="00E530E4" w:rsidRPr="00E530E4">
              <w:rPr>
                <w:noProof/>
                <w:lang w:val="en-GB"/>
              </w:rPr>
              <w:t>[22]</w:t>
            </w:r>
            <w:r w:rsidR="00E530E4">
              <w:rPr>
                <w:lang w:val="en-GB"/>
              </w:rPr>
              <w:fldChar w:fldCharType="end"/>
            </w:r>
          </w:p>
        </w:tc>
        <w:tc>
          <w:tcPr>
            <w:tcW w:w="3827" w:type="dxa"/>
            <w:shd w:val="clear" w:color="auto" w:fill="auto"/>
            <w:tcMar>
              <w:left w:w="0" w:type="dxa"/>
              <w:right w:w="0" w:type="dxa"/>
            </w:tcMar>
          </w:tcPr>
          <w:p w14:paraId="22A53E4C" w14:textId="77777777" w:rsidR="00BD31C2" w:rsidRPr="00692208" w:rsidRDefault="001A3A9B" w:rsidP="00D10D7D">
            <w:pPr>
              <w:pStyle w:val="BodytextIndented"/>
              <w:ind w:left="317" w:firstLine="0"/>
              <w:jc w:val="left"/>
              <w:rPr>
                <w:lang w:val="en-GB"/>
              </w:rPr>
            </w:pPr>
            <w:r w:rsidRPr="00692208">
              <w:rPr>
                <w:lang w:val="en-GB"/>
              </w:rPr>
              <w:t>A framework for smart academic guidance using educational</w:t>
            </w:r>
            <w:r w:rsidR="000A3CB0" w:rsidRPr="00692208">
              <w:rPr>
                <w:lang w:val="en-GB"/>
              </w:rPr>
              <w:t xml:space="preserve"> </w:t>
            </w:r>
            <w:r w:rsidRPr="00692208">
              <w:rPr>
                <w:lang w:val="en-GB"/>
              </w:rPr>
              <w:t>data mining</w:t>
            </w:r>
          </w:p>
        </w:tc>
        <w:tc>
          <w:tcPr>
            <w:tcW w:w="1560" w:type="dxa"/>
          </w:tcPr>
          <w:p w14:paraId="3853B211" w14:textId="77777777" w:rsidR="00BD31C2" w:rsidRPr="00692208" w:rsidRDefault="00D2115C" w:rsidP="00D10D7D">
            <w:pPr>
              <w:pStyle w:val="BodytextIndented"/>
              <w:ind w:left="317" w:firstLine="0"/>
              <w:jc w:val="center"/>
              <w:rPr>
                <w:lang w:val="en-GB"/>
              </w:rPr>
            </w:pPr>
            <w:r w:rsidRPr="00692208">
              <w:rPr>
                <w:lang w:val="en-GB"/>
              </w:rPr>
              <w:t>2018</w:t>
            </w:r>
          </w:p>
        </w:tc>
      </w:tr>
      <w:tr w:rsidR="00E530E4" w14:paraId="620BBAD8" w14:textId="77777777" w:rsidTr="00A96477">
        <w:trPr>
          <w:cantSplit/>
          <w:jc w:val="center"/>
        </w:trPr>
        <w:tc>
          <w:tcPr>
            <w:tcW w:w="709" w:type="dxa"/>
            <w:shd w:val="clear" w:color="auto" w:fill="auto"/>
            <w:tcMar>
              <w:left w:w="0" w:type="dxa"/>
              <w:right w:w="0" w:type="dxa"/>
            </w:tcMar>
          </w:tcPr>
          <w:p w14:paraId="08E1F289" w14:textId="77777777" w:rsidR="00BD31C2" w:rsidRPr="00454325" w:rsidRDefault="00BD31C2" w:rsidP="00D10D7D">
            <w:pPr>
              <w:pStyle w:val="BodytextIndented"/>
              <w:ind w:firstLine="0"/>
              <w:jc w:val="center"/>
              <w:rPr>
                <w:lang w:val="en-GB"/>
              </w:rPr>
            </w:pPr>
            <w:r>
              <w:rPr>
                <w:lang w:val="en-GB"/>
              </w:rPr>
              <w:t>15</w:t>
            </w:r>
          </w:p>
        </w:tc>
        <w:tc>
          <w:tcPr>
            <w:tcW w:w="2835" w:type="dxa"/>
          </w:tcPr>
          <w:p w14:paraId="5F2235E1" w14:textId="77777777" w:rsidR="00BD31C2" w:rsidRPr="00ED1960" w:rsidRDefault="00B32486" w:rsidP="00D10D7D">
            <w:pPr>
              <w:pStyle w:val="BodytextIndented"/>
              <w:ind w:firstLine="0"/>
              <w:jc w:val="left"/>
              <w:rPr>
                <w:lang w:val="en-GB"/>
              </w:rPr>
            </w:pPr>
            <w:r w:rsidRPr="00B32486">
              <w:rPr>
                <w:lang w:val="en-GB"/>
              </w:rPr>
              <w:t>Muhammad Shahid Iqbal, dan Bin Luo</w:t>
            </w:r>
            <w:r w:rsidR="00E530E4">
              <w:rPr>
                <w:lang w:val="en-GB"/>
              </w:rPr>
              <w:t xml:space="preserve"> </w:t>
            </w:r>
            <w:r w:rsidR="00E530E4">
              <w:rPr>
                <w:lang w:val="en-GB"/>
              </w:rPr>
              <w:fldChar w:fldCharType="begin" w:fldLock="1"/>
            </w:r>
            <w:r w:rsidR="00E530E4">
              <w:rPr>
                <w:lang w:val="en-GB"/>
              </w:rPr>
              <w:instrText>ADDIN CSL_CITATION {"citationItems":[{"id":"ITEM-1","itemData":{"DOI":"10.1007/s10639-018-9827-y","ISBN":"1063901898","ISSN":"15737608","abstract":"An educational institution is a place where people of different ages gain an education. In Pakistan, it includes primary, middle, high schools, inter colleges, technical and vocational institutions, degree colleges and universities. They provide a large variety of learning environments and learning spaces. This article figures out educational institutions development prediction, using the model of linear regression. This study has analyzed the development of a number of educational institutions using statistical analysis and predicts the future development of educational institutions yearly. The data is taken from “Handbook of statistics on Pakistan economy” time series data from 1970 to 2016. The population was affected by limited numbers of educational institutions; the female institutions at every level is less than male, and the ratio of institutional development is lower as compared to increasing population (like the third world countries). The results suggest a need of further development of educational institutions at every level, for male and female, especially the female institutions because the female population in Pakistan is 52% of total population.","author":[{"dropping-particle":"","family":"Iqbal","given":"Muhammad Shahid","non-dropping-particle":"","parse-names":false,"suffix":""},{"dropping-particle":"","family":"Luo","given":"Bin","non-dropping-particle":"","parse-names":false,"suffix":""}],"container-title":"Education and Information Technologies","id":"ITEM-1","issue":"2","issued":{"date-parts":[["2019"]]},"page":"1469-1483","publisher":"Education and Information Technologies","title":"Prediction of educational institution using predictive analytic techniques","type":"article-journal","volume":"24"},"uris":["http://www.mendeley.com/documents/?uuid=eb21dc39-ec11-4a28-962a-c51d67705cf0"]}],"mendeley":{"formattedCitation":"[23]","plainTextFormattedCitation":"[23]","previouslyFormattedCitation":"[23]"},"properties":{"noteIndex":0},"schema":"https://github.com/citation-style-language/schema/raw/master/csl-citation.json"}</w:instrText>
            </w:r>
            <w:r w:rsidR="00E530E4">
              <w:rPr>
                <w:lang w:val="en-GB"/>
              </w:rPr>
              <w:fldChar w:fldCharType="separate"/>
            </w:r>
            <w:r w:rsidR="00E530E4" w:rsidRPr="00E530E4">
              <w:rPr>
                <w:noProof/>
                <w:lang w:val="en-GB"/>
              </w:rPr>
              <w:t>[23]</w:t>
            </w:r>
            <w:r w:rsidR="00E530E4">
              <w:rPr>
                <w:lang w:val="en-GB"/>
              </w:rPr>
              <w:fldChar w:fldCharType="end"/>
            </w:r>
          </w:p>
        </w:tc>
        <w:tc>
          <w:tcPr>
            <w:tcW w:w="3827" w:type="dxa"/>
            <w:shd w:val="clear" w:color="auto" w:fill="auto"/>
            <w:tcMar>
              <w:left w:w="0" w:type="dxa"/>
              <w:right w:w="0" w:type="dxa"/>
            </w:tcMar>
          </w:tcPr>
          <w:p w14:paraId="3E79D6D9" w14:textId="77777777" w:rsidR="00BD31C2" w:rsidRPr="00692208" w:rsidRDefault="00B32486" w:rsidP="00D10D7D">
            <w:pPr>
              <w:pStyle w:val="BodytextIndented"/>
              <w:ind w:left="317" w:firstLine="0"/>
              <w:jc w:val="left"/>
              <w:rPr>
                <w:lang w:val="en-GB"/>
              </w:rPr>
            </w:pPr>
            <w:r w:rsidRPr="00692208">
              <w:rPr>
                <w:lang w:val="en-GB"/>
              </w:rPr>
              <w:t>Prediction of educational institution using predictive</w:t>
            </w:r>
            <w:r w:rsidR="000A3CB0" w:rsidRPr="00692208">
              <w:rPr>
                <w:lang w:val="en-GB"/>
              </w:rPr>
              <w:t xml:space="preserve"> </w:t>
            </w:r>
            <w:r w:rsidRPr="00692208">
              <w:rPr>
                <w:lang w:val="en-GB"/>
              </w:rPr>
              <w:t>analytic techniques</w:t>
            </w:r>
          </w:p>
        </w:tc>
        <w:tc>
          <w:tcPr>
            <w:tcW w:w="1560" w:type="dxa"/>
          </w:tcPr>
          <w:p w14:paraId="63342210" w14:textId="77777777" w:rsidR="00BD31C2" w:rsidRPr="00692208" w:rsidRDefault="00B32486" w:rsidP="00D10D7D">
            <w:pPr>
              <w:pStyle w:val="BodytextIndented"/>
              <w:ind w:left="317" w:firstLine="0"/>
              <w:jc w:val="center"/>
              <w:rPr>
                <w:lang w:val="en-GB"/>
              </w:rPr>
            </w:pPr>
            <w:r w:rsidRPr="00692208">
              <w:rPr>
                <w:lang w:val="en-GB"/>
              </w:rPr>
              <w:t>2018</w:t>
            </w:r>
          </w:p>
        </w:tc>
      </w:tr>
      <w:tr w:rsidR="00BA4701" w14:paraId="4667A050" w14:textId="77777777" w:rsidTr="00A96477">
        <w:trPr>
          <w:cantSplit/>
          <w:jc w:val="center"/>
        </w:trPr>
        <w:tc>
          <w:tcPr>
            <w:tcW w:w="709" w:type="dxa"/>
            <w:shd w:val="clear" w:color="auto" w:fill="auto"/>
            <w:tcMar>
              <w:left w:w="0" w:type="dxa"/>
              <w:right w:w="0" w:type="dxa"/>
            </w:tcMar>
          </w:tcPr>
          <w:p w14:paraId="770BD40C" w14:textId="77777777" w:rsidR="00CA6E7C" w:rsidRDefault="00CA6E7C" w:rsidP="00D10D7D">
            <w:pPr>
              <w:pStyle w:val="BodytextIndented"/>
              <w:ind w:firstLine="0"/>
              <w:jc w:val="center"/>
              <w:rPr>
                <w:lang w:val="en-GB"/>
              </w:rPr>
            </w:pPr>
            <w:r>
              <w:rPr>
                <w:lang w:val="en-GB"/>
              </w:rPr>
              <w:t>16</w:t>
            </w:r>
          </w:p>
        </w:tc>
        <w:tc>
          <w:tcPr>
            <w:tcW w:w="2835" w:type="dxa"/>
          </w:tcPr>
          <w:p w14:paraId="1BD2B990" w14:textId="77777777" w:rsidR="00CA6E7C" w:rsidRPr="00ED1960" w:rsidRDefault="000A3CB0" w:rsidP="00D10D7D">
            <w:pPr>
              <w:pStyle w:val="BodytextIndented"/>
              <w:ind w:firstLine="0"/>
              <w:jc w:val="left"/>
              <w:rPr>
                <w:lang w:val="en-GB"/>
              </w:rPr>
            </w:pPr>
            <w:r>
              <w:rPr>
                <w:lang w:val="en-GB"/>
              </w:rPr>
              <w:t>Aderibigbe Israel Adekitan, dan</w:t>
            </w:r>
            <w:r w:rsidRPr="000A3CB0">
              <w:rPr>
                <w:lang w:val="en-GB"/>
              </w:rPr>
              <w:t xml:space="preserve"> Etinosa Noma-Osaghae</w:t>
            </w:r>
            <w:r w:rsidR="00E530E4">
              <w:rPr>
                <w:lang w:val="en-GB"/>
              </w:rPr>
              <w:t xml:space="preserve"> </w:t>
            </w:r>
            <w:r w:rsidR="00E530E4">
              <w:rPr>
                <w:lang w:val="en-GB"/>
              </w:rPr>
              <w:fldChar w:fldCharType="begin" w:fldLock="1"/>
            </w:r>
            <w:r w:rsidR="00E530E4">
              <w:rPr>
                <w:lang w:val="en-GB"/>
              </w:rPr>
              <w:instrText>ADDIN CSL_CITATION {"citationItems":[{"id":"ITEM-1","itemData":{"DOI":"10.1007/s10639-018-9839-7","ISBN":"1063901898397","ISSN":"15737608","abstract":"The academic performance of a student in a university is determined by a number of factors, both academic and non-academic. Student that previously excelled at the secondary school level may lose focus due to peer pressure and social lifestyle while those who previously struggled due to family distractions may be able to focus away from home, and as a result excel at the university. University admission in Nigeria is typically based on cognitive entry characteristics of a student which is mostly academic, and may not necessarily translate to excellence once in the university. In this study, the relationship between the cognitive admission entry requirements and the academic performance of students in their first year, using their CGPA and class of degree was examined using six data mining algorithms in KNIME and Orange platforms. Maximum accuracies of 50.23% and 51.9% respectively were observed, and the results were verified using regression models, with R 2 values of 0.207 and 0.232 recorded which indicate that students’ performance in their first year is not fully explained by cognitive entry requirements.","author":[{"dropping-particle":"","family":"Adekitan","given":"Aderibigbe Israel","non-dropping-particle":"","parse-names":false,"suffix":""},{"dropping-particle":"","family":"Noma-Osaghae","given":"Etinosa","non-dropping-particle":"","parse-names":false,"suffix":""}],"container-title":"Education and Information Technologies","id":"ITEM-1","issue":"2","issued":{"date-parts":[["2019"]]},"page":"1527-1543","publisher":"Education and Information Technologies","title":"Data mining approach to predicting the performance of first year student in a university using the admission requirements","type":"article-journal","volume":"24"},"uris":["http://www.mendeley.com/documents/?uuid=203cb89a-61e2-4065-ae35-3cf51b8b8aa7"]}],"mendeley":{"formattedCitation":"[24]","plainTextFormattedCitation":"[24]","previouslyFormattedCitation":"[24]"},"properties":{"noteIndex":0},"schema":"https://github.com/citation-style-language/schema/raw/master/csl-citation.json"}</w:instrText>
            </w:r>
            <w:r w:rsidR="00E530E4">
              <w:rPr>
                <w:lang w:val="en-GB"/>
              </w:rPr>
              <w:fldChar w:fldCharType="separate"/>
            </w:r>
            <w:r w:rsidR="00E530E4" w:rsidRPr="00E530E4">
              <w:rPr>
                <w:noProof/>
                <w:lang w:val="en-GB"/>
              </w:rPr>
              <w:t>[24]</w:t>
            </w:r>
            <w:r w:rsidR="00E530E4">
              <w:rPr>
                <w:lang w:val="en-GB"/>
              </w:rPr>
              <w:fldChar w:fldCharType="end"/>
            </w:r>
          </w:p>
        </w:tc>
        <w:tc>
          <w:tcPr>
            <w:tcW w:w="3827" w:type="dxa"/>
            <w:shd w:val="clear" w:color="auto" w:fill="auto"/>
            <w:tcMar>
              <w:left w:w="0" w:type="dxa"/>
              <w:right w:w="0" w:type="dxa"/>
            </w:tcMar>
          </w:tcPr>
          <w:p w14:paraId="7E257DAF" w14:textId="77777777" w:rsidR="00CA6E7C" w:rsidRPr="00692208" w:rsidRDefault="000A3CB0" w:rsidP="00D10D7D">
            <w:pPr>
              <w:pStyle w:val="BodytextIndented"/>
              <w:ind w:left="317" w:firstLine="0"/>
              <w:jc w:val="left"/>
              <w:rPr>
                <w:lang w:val="en-GB"/>
              </w:rPr>
            </w:pPr>
            <w:r w:rsidRPr="00692208">
              <w:rPr>
                <w:lang w:val="en-GB"/>
              </w:rPr>
              <w:t>Data mining approach to predicting the performance of first year student in a university using the admission requirements</w:t>
            </w:r>
          </w:p>
        </w:tc>
        <w:tc>
          <w:tcPr>
            <w:tcW w:w="1560" w:type="dxa"/>
          </w:tcPr>
          <w:p w14:paraId="7F53A180" w14:textId="77777777" w:rsidR="00CA6E7C" w:rsidRPr="00692208" w:rsidRDefault="00CA6E7C" w:rsidP="00D10D7D">
            <w:pPr>
              <w:pStyle w:val="BodytextIndented"/>
              <w:ind w:left="317" w:firstLine="0"/>
              <w:jc w:val="center"/>
              <w:rPr>
                <w:lang w:val="en-GB"/>
              </w:rPr>
            </w:pPr>
          </w:p>
        </w:tc>
      </w:tr>
      <w:tr w:rsidR="00BA4701" w14:paraId="1FAF383D" w14:textId="77777777" w:rsidTr="00A96477">
        <w:trPr>
          <w:cantSplit/>
          <w:jc w:val="center"/>
        </w:trPr>
        <w:tc>
          <w:tcPr>
            <w:tcW w:w="709" w:type="dxa"/>
            <w:shd w:val="clear" w:color="auto" w:fill="auto"/>
            <w:tcMar>
              <w:left w:w="0" w:type="dxa"/>
              <w:right w:w="0" w:type="dxa"/>
            </w:tcMar>
          </w:tcPr>
          <w:p w14:paraId="107DFDCC" w14:textId="77777777" w:rsidR="00CA6E7C" w:rsidRDefault="00CA6E7C" w:rsidP="00D10D7D">
            <w:pPr>
              <w:pStyle w:val="BodytextIndented"/>
              <w:ind w:firstLine="0"/>
              <w:jc w:val="center"/>
              <w:rPr>
                <w:lang w:val="en-GB"/>
              </w:rPr>
            </w:pPr>
            <w:r>
              <w:rPr>
                <w:lang w:val="en-GB"/>
              </w:rPr>
              <w:t>17</w:t>
            </w:r>
          </w:p>
        </w:tc>
        <w:tc>
          <w:tcPr>
            <w:tcW w:w="2835" w:type="dxa"/>
          </w:tcPr>
          <w:p w14:paraId="4C7E41B1" w14:textId="77777777" w:rsidR="00CA6E7C" w:rsidRPr="00ED1960" w:rsidRDefault="00E10B68" w:rsidP="00D10D7D">
            <w:pPr>
              <w:pStyle w:val="BodytextIndented"/>
              <w:ind w:firstLine="0"/>
              <w:jc w:val="left"/>
              <w:rPr>
                <w:lang w:val="en-GB"/>
              </w:rPr>
            </w:pPr>
            <w:r>
              <w:rPr>
                <w:lang w:val="en-GB"/>
              </w:rPr>
              <w:t xml:space="preserve">K. Sreenivasa Rao, N. Swapna, dan </w:t>
            </w:r>
            <w:r w:rsidRPr="00E10B68">
              <w:rPr>
                <w:lang w:val="en-GB"/>
              </w:rPr>
              <w:t>P. Praveen Kumar</w:t>
            </w:r>
            <w:r w:rsidR="00E530E4">
              <w:rPr>
                <w:lang w:val="en-GB"/>
              </w:rPr>
              <w:t xml:space="preserve"> </w:t>
            </w:r>
            <w:r w:rsidR="00E530E4">
              <w:rPr>
                <w:lang w:val="en-GB"/>
              </w:rPr>
              <w:fldChar w:fldCharType="begin" w:fldLock="1"/>
            </w:r>
            <w:r w:rsidR="00E530E4">
              <w:rPr>
                <w:lang w:val="en-GB"/>
              </w:rPr>
              <w:instrText>ADDIN CSL_CITATION {"citationItems":[{"id":"ITEM-1","itemData":{"DOI":"10.14419/ijet.v7i1.2.8988","ISSN":"2227-524X","abstract":"Data Mining is the process of extracting useful information from large sets of data. Data mining enablesthe users to have insights into the data and make useful decisions out of the knowledge mined from databases. The purpose of higher education organizations is to offer superior opportunities to its students. As with data mining, now-a-days Education Data Mining (EDM) also is considered as a powerful tool in the field of education. It portrays an effective method for mining the student’s performance based on various parameters to predict and analyze whether a student (he/she) will be recruited or not in the campus placement. Predictions are made using the machine learning algorithms J48, Naïve Bayes, Random Forest, and Random Tree in weka tool and Multiple Linear Regression, binomial logistic regression, Recursive Partitioning and Regression Tree (rpart), conditional inference tree (ctree) and Neural Network (nnet) algorithms in R studio. The results obtained from each approaches are then compared with respect to their performance and accuracy levels by graphical analysis. Based on the result, higher education organizations can offer superior training to its students.","author":[{"dropping-particle":"","family":"Sreenivasa Rao","given":"K.","non-dropping-particle":"","parse-names":false,"suffix":""},{"dropping-particle":"","family":"Swapna","given":"N.","non-dropping-particle":"","parse-names":false,"suffix":""},{"dropping-particle":"","family":"Praveen Kumar","given":"P.","non-dropping-particle":"","parse-names":false,"suffix":""}],"container-title":"International Journal of Engineering &amp; Technology","id":"ITEM-1","issue":"1.2","issued":{"date-parts":[["2017"]]},"page":"43","title":"Educational data mining for student placement prediction using machine learning algorithms","type":"article-journal","volume":"7"},"uris":["http://www.mendeley.com/documents/?uuid=851ed1e9-8b92-4d19-bbda-18bf98e4d075"]}],"mendeley":{"formattedCitation":"[25]","plainTextFormattedCitation":"[25]","previouslyFormattedCitation":"[25]"},"properties":{"noteIndex":0},"schema":"https://github.com/citation-style-language/schema/raw/master/csl-citation.json"}</w:instrText>
            </w:r>
            <w:r w:rsidR="00E530E4">
              <w:rPr>
                <w:lang w:val="en-GB"/>
              </w:rPr>
              <w:fldChar w:fldCharType="separate"/>
            </w:r>
            <w:r w:rsidR="00E530E4" w:rsidRPr="00E530E4">
              <w:rPr>
                <w:noProof/>
                <w:lang w:val="en-GB"/>
              </w:rPr>
              <w:t>[25]</w:t>
            </w:r>
            <w:r w:rsidR="00E530E4">
              <w:rPr>
                <w:lang w:val="en-GB"/>
              </w:rPr>
              <w:fldChar w:fldCharType="end"/>
            </w:r>
          </w:p>
        </w:tc>
        <w:tc>
          <w:tcPr>
            <w:tcW w:w="3827" w:type="dxa"/>
            <w:shd w:val="clear" w:color="auto" w:fill="auto"/>
            <w:tcMar>
              <w:left w:w="0" w:type="dxa"/>
              <w:right w:w="0" w:type="dxa"/>
            </w:tcMar>
          </w:tcPr>
          <w:p w14:paraId="22AB0130" w14:textId="77777777" w:rsidR="00CA6E7C" w:rsidRPr="00692208" w:rsidRDefault="00562D1D" w:rsidP="00D10D7D">
            <w:pPr>
              <w:pStyle w:val="BodytextIndented"/>
              <w:ind w:left="317" w:firstLine="0"/>
              <w:jc w:val="left"/>
              <w:rPr>
                <w:lang w:val="en-GB"/>
              </w:rPr>
            </w:pPr>
            <w:r w:rsidRPr="00692208">
              <w:rPr>
                <w:lang w:val="en-GB"/>
              </w:rPr>
              <w:t>Educational data mining for student placement prediction using machine learning algorithms</w:t>
            </w:r>
          </w:p>
        </w:tc>
        <w:tc>
          <w:tcPr>
            <w:tcW w:w="1560" w:type="dxa"/>
          </w:tcPr>
          <w:p w14:paraId="155958C5" w14:textId="77777777" w:rsidR="00CA6E7C" w:rsidRPr="00692208" w:rsidRDefault="00E10B68" w:rsidP="00D10D7D">
            <w:pPr>
              <w:pStyle w:val="BodytextIndented"/>
              <w:ind w:left="317" w:firstLine="0"/>
              <w:jc w:val="center"/>
              <w:rPr>
                <w:lang w:val="en-GB"/>
              </w:rPr>
            </w:pPr>
            <w:r w:rsidRPr="00692208">
              <w:rPr>
                <w:lang w:val="en-GB"/>
              </w:rPr>
              <w:t>2018</w:t>
            </w:r>
          </w:p>
        </w:tc>
      </w:tr>
      <w:tr w:rsidR="00BA4701" w14:paraId="21638749" w14:textId="77777777" w:rsidTr="00A96477">
        <w:trPr>
          <w:cantSplit/>
          <w:jc w:val="center"/>
        </w:trPr>
        <w:tc>
          <w:tcPr>
            <w:tcW w:w="709" w:type="dxa"/>
            <w:shd w:val="clear" w:color="auto" w:fill="auto"/>
            <w:tcMar>
              <w:left w:w="0" w:type="dxa"/>
              <w:right w:w="0" w:type="dxa"/>
            </w:tcMar>
          </w:tcPr>
          <w:p w14:paraId="200D3841" w14:textId="77777777" w:rsidR="00CA6E7C" w:rsidRDefault="00CA6E7C" w:rsidP="00D10D7D">
            <w:pPr>
              <w:pStyle w:val="BodytextIndented"/>
              <w:ind w:firstLine="0"/>
              <w:jc w:val="center"/>
              <w:rPr>
                <w:lang w:val="en-GB"/>
              </w:rPr>
            </w:pPr>
            <w:r>
              <w:rPr>
                <w:lang w:val="en-GB"/>
              </w:rPr>
              <w:lastRenderedPageBreak/>
              <w:t>18</w:t>
            </w:r>
          </w:p>
        </w:tc>
        <w:tc>
          <w:tcPr>
            <w:tcW w:w="2835" w:type="dxa"/>
          </w:tcPr>
          <w:p w14:paraId="3633E304" w14:textId="77777777" w:rsidR="00CA6E7C" w:rsidRPr="00ED1960" w:rsidRDefault="00DD0E46" w:rsidP="00D10D7D">
            <w:pPr>
              <w:pStyle w:val="BodytextIndented"/>
              <w:ind w:firstLine="0"/>
              <w:jc w:val="left"/>
              <w:rPr>
                <w:lang w:val="en-GB"/>
              </w:rPr>
            </w:pPr>
            <w:r w:rsidRPr="00DD0E46">
              <w:rPr>
                <w:lang w:val="en-GB"/>
              </w:rPr>
              <w:t>Diego Buenaño-Fernández</w:t>
            </w:r>
            <w:r>
              <w:rPr>
                <w:lang w:val="en-GB"/>
              </w:rPr>
              <w:t xml:space="preserve">, </w:t>
            </w:r>
            <w:r w:rsidRPr="00DD0E46">
              <w:rPr>
                <w:lang w:val="en-GB"/>
              </w:rPr>
              <w:t>David Gil</w:t>
            </w:r>
            <w:r>
              <w:rPr>
                <w:lang w:val="en-GB"/>
              </w:rPr>
              <w:t>, dan</w:t>
            </w:r>
            <w:r w:rsidRPr="00DD0E46">
              <w:rPr>
                <w:lang w:val="en-GB"/>
              </w:rPr>
              <w:t xml:space="preserve"> Sergio Luján-Mora</w:t>
            </w:r>
            <w:r w:rsidR="00E530E4">
              <w:rPr>
                <w:lang w:val="en-GB"/>
              </w:rPr>
              <w:t xml:space="preserve"> </w:t>
            </w:r>
            <w:r w:rsidR="00E530E4">
              <w:rPr>
                <w:lang w:val="en-GB"/>
              </w:rPr>
              <w:fldChar w:fldCharType="begin" w:fldLock="1"/>
            </w:r>
            <w:r w:rsidR="00E530E4">
              <w:rPr>
                <w:lang w:val="en-GB"/>
              </w:rPr>
              <w:instrText>ADDIN CSL_CITATION {"citationItems":[{"id":"ITEM-1","itemData":{"DOI":"10.3390/su11102833","ISSN":"20711050","abstract":"The present work proposes the application of machine learning techniques to predict the final grades (FGs) of students based on their historical performance of grades. The proposal was applied to the historical academic information available for students enrolled in the computer engineering degree at an Ecuadorian university. One of the aims of the university's strategic plan is the development of a quality education that is intimately linked with sustainable development goals (SDGs). The application of technology in teaching-learning processes (Technology-enhanced learning) must become a key element to achieve the objective of academic quality and, as a consequence, enhance or benefit the common good. Today, both virtual and face-to-face educational models promote the application of information and communication technologies (ICT) in both teaching-learning processes and academic management processes. This implementation has generated an overload of data that needs to be processed properly in order to transform it into valuable information useful for all those involved in the field of education. Predicting a student's performance from their historical grades is one of the most popular applications of educational data mining and, therefore, it has become a valuable source of information that has been used for different purposes. Nevertheless, several studies related to the prediction of academic grades have been developed exclusively for the benefit of teachers and educational administrators. Little or nothing has been done to show the results of the prediction of the grades to the students. Consequently, there is very little research related to solutions that help students make decisions based on their own historical grades. This paper proposes a methodology in which the process of data collection and pre-processing is initially carried out, and then in a second stage, the grouping of students with similar patterns of academic performance was carried out. In the next phase, based on the identified patterns, the most appropriate supervised learning algorithm was selected, and then the experimental process was carried out. Finally, the results were presented and analyzed. The results showed the effectiveness of machine learning techniques to predict the performance of students.","author":[{"dropping-particle":"","family":"Buenaño-Fernández","given":"Diego","non-dropping-particle":"","parse-names":false,"suffix":""},{"dropping-particle":"","family":"Gil","given":"David","non-dropping-particle":"","parse-names":false,"suffix":""},{"dropping-particle":"","family":"Luján-Mora","given":"Sergio","non-dropping-particle":"","parse-names":false,"suffix":""}],"container-title":"Sustainability (Switzerland)","id":"ITEM-1","issue":"10","issued":{"date-parts":[["2019"]]},"page":"1-18","title":"Application of machine learning in predicting performance for computer engineering students: A case study","type":"article-journal","volume":"11"},"uris":["http://www.mendeley.com/documents/?uuid=db642649-6677-427c-85d1-de2b7a412947"]}],"mendeley":{"formattedCitation":"[26]","plainTextFormattedCitation":"[26]","previouslyFormattedCitation":"[26]"},"properties":{"noteIndex":0},"schema":"https://github.com/citation-style-language/schema/raw/master/csl-citation.json"}</w:instrText>
            </w:r>
            <w:r w:rsidR="00E530E4">
              <w:rPr>
                <w:lang w:val="en-GB"/>
              </w:rPr>
              <w:fldChar w:fldCharType="separate"/>
            </w:r>
            <w:r w:rsidR="00E530E4" w:rsidRPr="00E530E4">
              <w:rPr>
                <w:noProof/>
                <w:lang w:val="en-GB"/>
              </w:rPr>
              <w:t>[26]</w:t>
            </w:r>
            <w:r w:rsidR="00E530E4">
              <w:rPr>
                <w:lang w:val="en-GB"/>
              </w:rPr>
              <w:fldChar w:fldCharType="end"/>
            </w:r>
          </w:p>
        </w:tc>
        <w:tc>
          <w:tcPr>
            <w:tcW w:w="3827" w:type="dxa"/>
            <w:shd w:val="clear" w:color="auto" w:fill="auto"/>
            <w:tcMar>
              <w:left w:w="0" w:type="dxa"/>
              <w:right w:w="0" w:type="dxa"/>
            </w:tcMar>
          </w:tcPr>
          <w:p w14:paraId="7F98DC47" w14:textId="77777777" w:rsidR="00CA6E7C" w:rsidRPr="00692208" w:rsidRDefault="00DD0E46" w:rsidP="00D10D7D">
            <w:pPr>
              <w:pStyle w:val="BodytextIndented"/>
              <w:ind w:left="317" w:firstLine="0"/>
              <w:jc w:val="left"/>
              <w:rPr>
                <w:lang w:val="en-GB"/>
              </w:rPr>
            </w:pPr>
            <w:r w:rsidRPr="00692208">
              <w:rPr>
                <w:lang w:val="en-GB"/>
              </w:rPr>
              <w:t>Application of Machine Learning in Predicting Performance for Computer Engineering Students: A Case Study</w:t>
            </w:r>
          </w:p>
        </w:tc>
        <w:tc>
          <w:tcPr>
            <w:tcW w:w="1560" w:type="dxa"/>
          </w:tcPr>
          <w:p w14:paraId="2647891B" w14:textId="77777777" w:rsidR="00CA6E7C" w:rsidRPr="00692208" w:rsidRDefault="00E70EFE" w:rsidP="00D10D7D">
            <w:pPr>
              <w:pStyle w:val="BodytextIndented"/>
              <w:ind w:left="317" w:firstLine="0"/>
              <w:jc w:val="center"/>
              <w:rPr>
                <w:lang w:val="en-GB"/>
              </w:rPr>
            </w:pPr>
            <w:r w:rsidRPr="00692208">
              <w:rPr>
                <w:lang w:val="en-GB"/>
              </w:rPr>
              <w:t>2019</w:t>
            </w:r>
          </w:p>
        </w:tc>
      </w:tr>
      <w:tr w:rsidR="00BA4701" w14:paraId="21ADF525" w14:textId="77777777" w:rsidTr="00A96477">
        <w:trPr>
          <w:cantSplit/>
          <w:jc w:val="center"/>
        </w:trPr>
        <w:tc>
          <w:tcPr>
            <w:tcW w:w="709" w:type="dxa"/>
            <w:shd w:val="clear" w:color="auto" w:fill="auto"/>
            <w:tcMar>
              <w:left w:w="0" w:type="dxa"/>
              <w:right w:w="0" w:type="dxa"/>
            </w:tcMar>
          </w:tcPr>
          <w:p w14:paraId="0249B106" w14:textId="77777777" w:rsidR="00CA6E7C" w:rsidRDefault="00CA6E7C" w:rsidP="00D10D7D">
            <w:pPr>
              <w:pStyle w:val="BodytextIndented"/>
              <w:ind w:firstLine="0"/>
              <w:jc w:val="center"/>
              <w:rPr>
                <w:lang w:val="en-GB"/>
              </w:rPr>
            </w:pPr>
            <w:r>
              <w:rPr>
                <w:lang w:val="en-GB"/>
              </w:rPr>
              <w:t>19</w:t>
            </w:r>
          </w:p>
        </w:tc>
        <w:tc>
          <w:tcPr>
            <w:tcW w:w="2835" w:type="dxa"/>
          </w:tcPr>
          <w:p w14:paraId="6018DAD1" w14:textId="77777777" w:rsidR="00CA6E7C" w:rsidRPr="00ED1960" w:rsidRDefault="00173728" w:rsidP="00D10D7D">
            <w:pPr>
              <w:pStyle w:val="BodytextIndented"/>
              <w:ind w:firstLine="0"/>
              <w:jc w:val="left"/>
              <w:rPr>
                <w:lang w:val="en-GB"/>
              </w:rPr>
            </w:pPr>
            <w:r w:rsidRPr="00173728">
              <w:rPr>
                <w:lang w:val="en-GB"/>
              </w:rPr>
              <w:t>Rebecca Fiebrink</w:t>
            </w:r>
            <w:r w:rsidR="00E530E4">
              <w:rPr>
                <w:lang w:val="en-GB"/>
              </w:rPr>
              <w:t xml:space="preserve"> </w:t>
            </w:r>
            <w:r w:rsidR="00E530E4">
              <w:rPr>
                <w:lang w:val="en-GB"/>
              </w:rPr>
              <w:fldChar w:fldCharType="begin" w:fldLock="1"/>
            </w:r>
            <w:r w:rsidR="00E530E4">
              <w:rPr>
                <w:lang w:val="en-GB"/>
              </w:rPr>
              <w:instrText>ADDIN CSL_CITATION {"citationItems":[{"id":"ITEM-1","itemData":{"DOI":"10.1145/3294008","ISSN":"19466226","abstract":"This article aims to lay a foundation for the research and practice of machine learning education for creative practitioners. It begins by arguing that it is important to teach machine learning to creative practitioners and to conduct research about this teaching, drawing on related work in creative machine learning, creative computing education, and machine learning education. It then draws on research about design processes in engineering and creative practice to motivate a set of learning objectives for students who wish to design new creative artifacts with machine learning. The article then draws on education research and knowledge of creative computing practices to propose a set of teaching strategies that can be used to support creative computing students in achieving these objectives. Explanations of these strategies are accompanied by concrete descriptions of how they have been employed to develop new lectures and activities, and to design new experiential learning and scaffolding technologies, for teaching some of the first courses in the world focused on teaching machine learning to creative practitioners. The article subsequently draws on data collected from these courses-an online course as well as undergraduate and masters-level courses taught at a university-to begin to understand how this curriculum supported student learning, to understand learners' challenges and mistakes, and to inform future teaching and research.","author":[{"dropping-particle":"","family":"Fiebrink","given":"Rebecca","non-dropping-particle":"","parse-names":false,"suffix":""}],"container-title":"ACM Transactions on Computing Education","id":"ITEM-1","issue":"4","issued":{"date-parts":[["2019"]]},"title":"Machine learning education for artists, musicians, and other creative practitioners","type":"article-journal","volume":"19"},"uris":["http://www.mendeley.com/documents/?uuid=2256fc1e-67c8-4edb-82df-b9372e3a227c"]}],"mendeley":{"formattedCitation":"[27]","plainTextFormattedCitation":"[27]","previouslyFormattedCitation":"[27]"},"properties":{"noteIndex":0},"schema":"https://github.com/citation-style-language/schema/raw/master/csl-citation.json"}</w:instrText>
            </w:r>
            <w:r w:rsidR="00E530E4">
              <w:rPr>
                <w:lang w:val="en-GB"/>
              </w:rPr>
              <w:fldChar w:fldCharType="separate"/>
            </w:r>
            <w:r w:rsidR="00E530E4" w:rsidRPr="00E530E4">
              <w:rPr>
                <w:noProof/>
                <w:lang w:val="en-GB"/>
              </w:rPr>
              <w:t>[27]</w:t>
            </w:r>
            <w:r w:rsidR="00E530E4">
              <w:rPr>
                <w:lang w:val="en-GB"/>
              </w:rPr>
              <w:fldChar w:fldCharType="end"/>
            </w:r>
          </w:p>
        </w:tc>
        <w:tc>
          <w:tcPr>
            <w:tcW w:w="3827" w:type="dxa"/>
            <w:shd w:val="clear" w:color="auto" w:fill="auto"/>
            <w:tcMar>
              <w:left w:w="0" w:type="dxa"/>
              <w:right w:w="0" w:type="dxa"/>
            </w:tcMar>
          </w:tcPr>
          <w:p w14:paraId="348F6124" w14:textId="77777777" w:rsidR="00CA6E7C" w:rsidRPr="00692208" w:rsidRDefault="0042494D" w:rsidP="00D10D7D">
            <w:pPr>
              <w:pStyle w:val="BodytextIndented"/>
              <w:ind w:left="317" w:firstLine="0"/>
              <w:jc w:val="left"/>
              <w:rPr>
                <w:lang w:val="en-GB"/>
              </w:rPr>
            </w:pPr>
            <w:r w:rsidRPr="00692208">
              <w:rPr>
                <w:lang w:val="en-GB"/>
              </w:rPr>
              <w:t>Machine Learning Education for Artists, Musicians, and Other Creative Practitioners</w:t>
            </w:r>
          </w:p>
        </w:tc>
        <w:tc>
          <w:tcPr>
            <w:tcW w:w="1560" w:type="dxa"/>
          </w:tcPr>
          <w:p w14:paraId="7B8E6B0E" w14:textId="77777777" w:rsidR="00CA6E7C" w:rsidRPr="00692208" w:rsidRDefault="00173728" w:rsidP="00D10D7D">
            <w:pPr>
              <w:pStyle w:val="BodytextIndented"/>
              <w:ind w:left="317" w:firstLine="0"/>
              <w:jc w:val="center"/>
              <w:rPr>
                <w:lang w:val="en-GB"/>
              </w:rPr>
            </w:pPr>
            <w:r w:rsidRPr="00692208">
              <w:rPr>
                <w:lang w:val="en-GB"/>
              </w:rPr>
              <w:t>2019</w:t>
            </w:r>
          </w:p>
        </w:tc>
      </w:tr>
      <w:tr w:rsidR="00BA4701" w14:paraId="7FE706CF" w14:textId="77777777" w:rsidTr="00A96477">
        <w:trPr>
          <w:cantSplit/>
          <w:jc w:val="center"/>
        </w:trPr>
        <w:tc>
          <w:tcPr>
            <w:tcW w:w="709" w:type="dxa"/>
            <w:shd w:val="clear" w:color="auto" w:fill="auto"/>
            <w:tcMar>
              <w:left w:w="0" w:type="dxa"/>
              <w:right w:w="0" w:type="dxa"/>
            </w:tcMar>
          </w:tcPr>
          <w:p w14:paraId="29A24610" w14:textId="77777777" w:rsidR="00CA6E7C" w:rsidRDefault="00CA6E7C" w:rsidP="00D10D7D">
            <w:pPr>
              <w:pStyle w:val="BodytextIndented"/>
              <w:ind w:firstLine="0"/>
              <w:jc w:val="center"/>
              <w:rPr>
                <w:lang w:val="en-GB"/>
              </w:rPr>
            </w:pPr>
            <w:r>
              <w:rPr>
                <w:lang w:val="en-GB"/>
              </w:rPr>
              <w:t>20</w:t>
            </w:r>
          </w:p>
        </w:tc>
        <w:tc>
          <w:tcPr>
            <w:tcW w:w="2835" w:type="dxa"/>
          </w:tcPr>
          <w:p w14:paraId="5166A170" w14:textId="77777777" w:rsidR="00CA6E7C" w:rsidRPr="00ED1960" w:rsidRDefault="009566B4" w:rsidP="00D10D7D">
            <w:pPr>
              <w:pStyle w:val="BodytextIndented"/>
              <w:ind w:firstLine="0"/>
              <w:jc w:val="left"/>
              <w:rPr>
                <w:lang w:val="en-GB"/>
              </w:rPr>
            </w:pPr>
            <w:r w:rsidRPr="009566B4">
              <w:rPr>
                <w:lang w:val="en-GB"/>
              </w:rPr>
              <w:t>Jeffrey Saltz, Michael Skirpan, Casey Fiesler, Micha Gorelick, Tom Yeh, Robert Heckman, Neil Dewar, Dan Nathan Beard</w:t>
            </w:r>
            <w:r w:rsidR="00E530E4">
              <w:rPr>
                <w:lang w:val="en-GB"/>
              </w:rPr>
              <w:t xml:space="preserve"> </w:t>
            </w:r>
            <w:r w:rsidR="00E530E4">
              <w:rPr>
                <w:lang w:val="en-GB"/>
              </w:rPr>
              <w:fldChar w:fldCharType="begin" w:fldLock="1"/>
            </w:r>
            <w:r w:rsidR="00E530E4">
              <w:rPr>
                <w:lang w:val="en-GB"/>
              </w:rPr>
              <w:instrText>ADDIN CSL_CITATION {"citationItems":[{"id":"ITEM-1","itemData":{"DOI":"10.1145/3341164","ISSN":"19466226","abstract":"This article establishes and addresses opportunities for ethics integration into Machine Learning (ML) courses. Following a survey of the history of computing ethics and the current need for ethical consideration within ML, we consider the current state of ML ethics education via an exploratory analysis of course syllabi in computing programs. The results reveal that though ethics is part of the overall educational landscape in these programs, it is not frequently a part of core technical ML courses. To help address this gap, we offer a preliminary framework, developed via a systematic literature review, of relevant ethics questions that should be addressed within an ML project. A pilot study with 85 students confirms that this framework helped them identify and articulate key ethical considerations within their ML projects. Building from this work, we also provide three example ML course modules that bring ethical thinking directly into learning core ML content. Collectively, this research demonstrates: (1) the need for ethics to be taught as integrated within ML coursework, (2) a structured set of questions useful for identifying and addressing potential issues within an ML project, and (3) novel course models that provide examples for how to practically teach ML ethics without sacrificing core course content. An additional by-product of this research is the collection and integration of recent publications in the emerging field of ML ethics education.","author":[{"dropping-particle":"","family":"Saltz","given":"Jeffrey","non-dropping-particle":"","parse-names":false,"suffix":""},{"dropping-particle":"","family":"Skirpan","given":"Michael","non-dropping-particle":"","parse-names":false,"suffix":""},{"dropping-particle":"","family":"Fiesler","given":"Casey","non-dropping-particle":"","parse-names":false,"suffix":""},{"dropping-particle":"","family":"Gorelick","given":"Micha","non-dropping-particle":"","parse-names":false,"suffix":""},{"dropping-particle":"","family":"Yeh","given":"Tom","non-dropping-particle":"","parse-names":false,"suffix":""},{"dropping-particle":"","family":"Heckman","given":"Robert","non-dropping-particle":"","parse-names":false,"suffix":""},{"dropping-particle":"","family":"Dewar","given":"Neil","non-dropping-particle":"","parse-names":false,"suffix":""},{"dropping-particle":"","family":"Beard","given":"Nathan","non-dropping-particle":"","parse-names":false,"suffix":""}],"container-title":"ACM Transactions on Computing Education","id":"ITEM-1","issue":"4","issued":{"date-parts":[["2019"]]},"title":"Integrating ethics within machine learning courses","type":"article-journal","volume":"19"},"uris":["http://www.mendeley.com/documents/?uuid=85ea1e0e-fdbe-4767-9392-398b5f2b221a"]}],"mendeley":{"formattedCitation":"[28]","plainTextFormattedCitation":"[28]","previouslyFormattedCitation":"[28]"},"properties":{"noteIndex":0},"schema":"https://github.com/citation-style-language/schema/raw/master/csl-citation.json"}</w:instrText>
            </w:r>
            <w:r w:rsidR="00E530E4">
              <w:rPr>
                <w:lang w:val="en-GB"/>
              </w:rPr>
              <w:fldChar w:fldCharType="separate"/>
            </w:r>
            <w:r w:rsidR="00E530E4" w:rsidRPr="00E530E4">
              <w:rPr>
                <w:noProof/>
                <w:lang w:val="en-GB"/>
              </w:rPr>
              <w:t>[28]</w:t>
            </w:r>
            <w:r w:rsidR="00E530E4">
              <w:rPr>
                <w:lang w:val="en-GB"/>
              </w:rPr>
              <w:fldChar w:fldCharType="end"/>
            </w:r>
          </w:p>
        </w:tc>
        <w:tc>
          <w:tcPr>
            <w:tcW w:w="3827" w:type="dxa"/>
            <w:shd w:val="clear" w:color="auto" w:fill="auto"/>
            <w:tcMar>
              <w:left w:w="0" w:type="dxa"/>
              <w:right w:w="0" w:type="dxa"/>
            </w:tcMar>
          </w:tcPr>
          <w:p w14:paraId="694C266B" w14:textId="77777777" w:rsidR="00CA6E7C" w:rsidRPr="00692208" w:rsidRDefault="002F58CE" w:rsidP="00D10D7D">
            <w:pPr>
              <w:pStyle w:val="BodytextIndented"/>
              <w:ind w:left="317" w:firstLine="0"/>
              <w:jc w:val="left"/>
              <w:rPr>
                <w:lang w:val="en-GB"/>
              </w:rPr>
            </w:pPr>
            <w:r w:rsidRPr="00692208">
              <w:rPr>
                <w:lang w:val="en-GB"/>
              </w:rPr>
              <w:t>Integrating Ethics within Machine-learning Courses</w:t>
            </w:r>
          </w:p>
        </w:tc>
        <w:tc>
          <w:tcPr>
            <w:tcW w:w="1560" w:type="dxa"/>
          </w:tcPr>
          <w:p w14:paraId="296AC3D2" w14:textId="77777777" w:rsidR="00CA6E7C" w:rsidRPr="00692208" w:rsidRDefault="009566B4" w:rsidP="00D10D7D">
            <w:pPr>
              <w:pStyle w:val="BodytextIndented"/>
              <w:ind w:left="317" w:firstLine="0"/>
              <w:jc w:val="center"/>
              <w:rPr>
                <w:lang w:val="en-GB"/>
              </w:rPr>
            </w:pPr>
            <w:r w:rsidRPr="00692208">
              <w:rPr>
                <w:lang w:val="en-GB"/>
              </w:rPr>
              <w:t>2019</w:t>
            </w:r>
          </w:p>
        </w:tc>
      </w:tr>
      <w:tr w:rsidR="00BA4701" w14:paraId="57115139" w14:textId="77777777" w:rsidTr="00A96477">
        <w:trPr>
          <w:cantSplit/>
          <w:jc w:val="center"/>
        </w:trPr>
        <w:tc>
          <w:tcPr>
            <w:tcW w:w="709" w:type="dxa"/>
            <w:shd w:val="clear" w:color="auto" w:fill="auto"/>
            <w:tcMar>
              <w:left w:w="0" w:type="dxa"/>
              <w:right w:w="0" w:type="dxa"/>
            </w:tcMar>
          </w:tcPr>
          <w:p w14:paraId="5CFD23E4" w14:textId="77777777" w:rsidR="00CA6E7C" w:rsidRDefault="00CA6E7C" w:rsidP="00D10D7D">
            <w:pPr>
              <w:pStyle w:val="BodytextIndented"/>
              <w:ind w:firstLine="0"/>
              <w:jc w:val="center"/>
              <w:rPr>
                <w:lang w:val="en-GB"/>
              </w:rPr>
            </w:pPr>
            <w:r>
              <w:rPr>
                <w:lang w:val="en-GB"/>
              </w:rPr>
              <w:t>21</w:t>
            </w:r>
          </w:p>
        </w:tc>
        <w:tc>
          <w:tcPr>
            <w:tcW w:w="2835" w:type="dxa"/>
          </w:tcPr>
          <w:p w14:paraId="7656C2DB" w14:textId="77777777" w:rsidR="00CA6E7C" w:rsidRPr="00ED1960" w:rsidRDefault="00844FFD" w:rsidP="00D10D7D">
            <w:pPr>
              <w:pStyle w:val="BodytextIndented"/>
              <w:ind w:firstLine="0"/>
              <w:jc w:val="left"/>
              <w:rPr>
                <w:lang w:val="en-GB"/>
              </w:rPr>
            </w:pPr>
            <w:r>
              <w:rPr>
                <w:lang w:val="en-GB"/>
              </w:rPr>
              <w:t xml:space="preserve">Sree Aurovindh </w:t>
            </w:r>
            <w:r w:rsidRPr="00844FFD">
              <w:rPr>
                <w:lang w:val="en-GB"/>
              </w:rPr>
              <w:t xml:space="preserve">Viswanathan </w:t>
            </w:r>
            <w:r>
              <w:rPr>
                <w:lang w:val="en-GB"/>
              </w:rPr>
              <w:t>dan</w:t>
            </w:r>
            <w:r w:rsidRPr="00844FFD">
              <w:rPr>
                <w:lang w:val="en-GB"/>
              </w:rPr>
              <w:t xml:space="preserve"> Kurt VanLehn</w:t>
            </w:r>
            <w:r w:rsidR="00E530E4">
              <w:rPr>
                <w:lang w:val="en-GB"/>
              </w:rPr>
              <w:t xml:space="preserve"> </w:t>
            </w:r>
            <w:r w:rsidR="00E530E4">
              <w:rPr>
                <w:lang w:val="en-GB"/>
              </w:rPr>
              <w:fldChar w:fldCharType="begin" w:fldLock="1"/>
            </w:r>
            <w:r w:rsidR="00E530E4">
              <w:rPr>
                <w:lang w:val="en-GB"/>
              </w:rPr>
              <w:instrText>ADDIN CSL_CITATION {"citationItems":[{"id":"ITEM-1","itemData":{"DOI":"10.14419/ijet.v7i1.2.8988","ISSN":"2227-524X","abstract":"Data Mining is the process of extracting useful information from large sets of data. Data mining enablesthe users to have insights into the data and make useful decisions out of the knowledge mined from databases. The purpose of higher education organizations is to offer superior opportunities to its students. As with data mining, now-a-days Education Data Mining (EDM) also is considered as a powerful tool in the field of education. It portrays an effective method for mining the student’s performance based on various parameters to predict and analyze whether a student (he/she) will be recruited or not in the campus placement. Predictions are made using the machine learning algorithms J48, Naïve Bayes, Random Forest, and Random Tree in weka tool and Multiple Linear Regression, binomial logistic regression, Recursive Partitioning and Regression Tree (rpart), conditional inference tree (ctree) and Neural Network (nnet) algorithms in R studio. The results obtained from each approaches are then compared with respect to their performance and accuracy levels by graphical analysis. Based on the result, higher education organizations can offer superior training to its students.","author":[{"dropping-particle":"","family":"Sreenivasa Rao","given":"K.","non-dropping-particle":"","parse-names":false,"suffix":""},{"dropping-particle":"","family":"Swapna","given":"N.","non-dropping-particle":"","parse-names":false,"suffix":""},{"dropping-particle":"","family":"Praveen Kumar","given":"P.","non-dropping-particle":"","parse-names":false,"suffix":""}],"container-title":"International Journal of Engineering &amp; Technology","id":"ITEM-1","issue":"1.2","issued":{"date-parts":[["2017"]]},"page":"43","title":"Educational data mining for student placement prediction using machine learning algorithms","type":"article-journal","volume":"7"},"uris":["http://www.mendeley.com/documents/?uuid=851ed1e9-8b92-4d19-bbda-18bf98e4d075"]}],"mendeley":{"formattedCitation":"[25]","plainTextFormattedCitation":"[25]","previouslyFormattedCitation":"[25]"},"properties":{"noteIndex":0},"schema":"https://github.com/citation-style-language/schema/raw/master/csl-citation.json"}</w:instrText>
            </w:r>
            <w:r w:rsidR="00E530E4">
              <w:rPr>
                <w:lang w:val="en-GB"/>
              </w:rPr>
              <w:fldChar w:fldCharType="separate"/>
            </w:r>
            <w:r w:rsidR="00E530E4" w:rsidRPr="00E530E4">
              <w:rPr>
                <w:noProof/>
                <w:lang w:val="en-GB"/>
              </w:rPr>
              <w:t>[25]</w:t>
            </w:r>
            <w:r w:rsidR="00E530E4">
              <w:rPr>
                <w:lang w:val="en-GB"/>
              </w:rPr>
              <w:fldChar w:fldCharType="end"/>
            </w:r>
          </w:p>
        </w:tc>
        <w:tc>
          <w:tcPr>
            <w:tcW w:w="3827" w:type="dxa"/>
            <w:shd w:val="clear" w:color="auto" w:fill="auto"/>
            <w:tcMar>
              <w:left w:w="0" w:type="dxa"/>
              <w:right w:w="0" w:type="dxa"/>
            </w:tcMar>
          </w:tcPr>
          <w:p w14:paraId="797E5460" w14:textId="77777777" w:rsidR="00CA6E7C" w:rsidRPr="00692208" w:rsidRDefault="00844FFD" w:rsidP="00D10D7D">
            <w:pPr>
              <w:pStyle w:val="BodytextIndented"/>
              <w:ind w:left="317" w:firstLine="0"/>
              <w:jc w:val="left"/>
              <w:rPr>
                <w:lang w:val="en-GB"/>
              </w:rPr>
            </w:pPr>
            <w:r w:rsidRPr="00692208">
              <w:rPr>
                <w:lang w:val="en-GB"/>
              </w:rPr>
              <w:t>Using the tablet gestures and speech of pairs of students to classify their collaboration</w:t>
            </w:r>
          </w:p>
        </w:tc>
        <w:tc>
          <w:tcPr>
            <w:tcW w:w="1560" w:type="dxa"/>
          </w:tcPr>
          <w:p w14:paraId="7E77DAC9" w14:textId="77777777" w:rsidR="00CA6E7C" w:rsidRPr="00692208" w:rsidRDefault="00844FFD" w:rsidP="00D10D7D">
            <w:pPr>
              <w:pStyle w:val="BodytextIndented"/>
              <w:ind w:left="317" w:firstLine="0"/>
              <w:jc w:val="center"/>
              <w:rPr>
                <w:lang w:val="en-GB"/>
              </w:rPr>
            </w:pPr>
            <w:r w:rsidRPr="00692208">
              <w:rPr>
                <w:lang w:val="en-GB"/>
              </w:rPr>
              <w:t>2016</w:t>
            </w:r>
          </w:p>
        </w:tc>
      </w:tr>
      <w:tr w:rsidR="00BA4701" w14:paraId="6468DA24" w14:textId="77777777" w:rsidTr="00A96477">
        <w:trPr>
          <w:cantSplit/>
          <w:jc w:val="center"/>
        </w:trPr>
        <w:tc>
          <w:tcPr>
            <w:tcW w:w="709" w:type="dxa"/>
            <w:shd w:val="clear" w:color="auto" w:fill="auto"/>
            <w:tcMar>
              <w:left w:w="0" w:type="dxa"/>
              <w:right w:w="0" w:type="dxa"/>
            </w:tcMar>
          </w:tcPr>
          <w:p w14:paraId="4E65C974" w14:textId="77777777" w:rsidR="00CA6E7C" w:rsidRDefault="00CA6E7C" w:rsidP="00D10D7D">
            <w:pPr>
              <w:pStyle w:val="BodytextIndented"/>
              <w:ind w:firstLine="0"/>
              <w:jc w:val="center"/>
              <w:rPr>
                <w:lang w:val="en-GB"/>
              </w:rPr>
            </w:pPr>
            <w:r>
              <w:rPr>
                <w:lang w:val="en-GB"/>
              </w:rPr>
              <w:t>22</w:t>
            </w:r>
          </w:p>
        </w:tc>
        <w:tc>
          <w:tcPr>
            <w:tcW w:w="2835" w:type="dxa"/>
          </w:tcPr>
          <w:p w14:paraId="31EE4780" w14:textId="77777777" w:rsidR="00CA6E7C" w:rsidRPr="00ED1960" w:rsidRDefault="008A54D4" w:rsidP="00D10D7D">
            <w:pPr>
              <w:pStyle w:val="BodytextIndented"/>
              <w:ind w:firstLine="0"/>
              <w:jc w:val="left"/>
              <w:rPr>
                <w:lang w:val="en-GB"/>
              </w:rPr>
            </w:pPr>
            <w:r>
              <w:rPr>
                <w:lang w:val="en-GB"/>
              </w:rPr>
              <w:t xml:space="preserve">Heba Fasihuddin, Geoff Skinner, dan </w:t>
            </w:r>
            <w:r w:rsidRPr="008A54D4">
              <w:rPr>
                <w:lang w:val="en-GB"/>
              </w:rPr>
              <w:t>Rukshan Athauda</w:t>
            </w:r>
            <w:r w:rsidR="00E530E4">
              <w:rPr>
                <w:lang w:val="en-GB"/>
              </w:rPr>
              <w:t xml:space="preserve"> </w:t>
            </w:r>
            <w:r w:rsidR="00E530E4">
              <w:rPr>
                <w:lang w:val="en-GB"/>
              </w:rPr>
              <w:fldChar w:fldCharType="begin" w:fldLock="1"/>
            </w:r>
            <w:r w:rsidR="00E530E4">
              <w:rPr>
                <w:lang w:val="en-GB"/>
              </w:rPr>
              <w:instrText>ADDIN CSL_CITATION {"citationItems":[{"id":"ITEM-1","itemData":{"DOI":"10.1007/s10639-015-9458-5","ISSN":"15737608","abstract":"Open learning represents a new form of online learning where courses are provided freely online for large numbers of learners. MOOCs are examples of this form of learning. The authors see an opportunity for personalising open learning environments by adapting to learners’ learning styles and providing adaptive support to meet individual learner needs and preferences. Identifying learning styles of learners in open learning environments is crucial to providing adaptive support. Learning styles refer to the manner in which learners receive and perceive information. In the literature, a number of learning style models have been proposed. The Felder and Silverman Learning Styles Model (FSLSM) has been selected as the most appropriate model for open learning. In previous studies two approaches have been used to automatically identify learning styles based on the FSLSM. These approaches are known as the data-driven method and the literature-based method. In the literature, the literature-based method has been shown to be more accurate in identifying learning styles. This method relies on tracking learners’ interactions with the provided learning objects based on a set of pre-determined patterns that help in inferring learning styles. The patterns are monitored based on pre-identified threshold values. This paper aims to apply the literature-based method to open learning environments and introduce the optimal patterns and threshold values for identifying learning styles based on the FSLSM. To achieve this aim, a study was conducted whereby a prototype that simulates the open learning environment was developed and piloted on an undergraduate IT course so that learner behaviour could be tracked and data could be collected. Next, different sets of threshold values from the literature were considered along with some updated threshold values considering the context of open learning environments, and the precision of identifying learning styles was calculated. Eighty-three students participated in the study and used the developed prototype. Precision results from different threshold values presented in the literature along with customised threshold values for this study are reported and analysed in this paper. It is shown that threshold values derived from literature and customised to suit open learning environments provide a high level of accuracy in identifying learning styles. The paper presents the first study of its kind in evaluating threshold values and preci…","author":[{"dropping-particle":"","family":"Fasihuddin","given":"Heba","non-dropping-particle":"","parse-names":false,"suffix":""},{"dropping-particle":"","family":"Skinner","given":"Geoff","non-dropping-particle":"","parse-names":false,"suffix":""},{"dropping-particle":"","family":"Athauda","given":"Rukshan","non-dropping-particle":"","parse-names":false,"suffix":""}],"container-title":"Education and Information Technologies","id":"ITEM-1","issue":"3","issued":{"date-parts":[["2017"]]},"page":"807-825","title":"Towards adaptive open learning environments: Evaluating the precision of identifying learning styles by tracking learners’ behaviours","type":"article-journal","volume":"22"},"uris":["http://www.mendeley.com/documents/?uuid=1b5d9ebd-b746-4bf0-8d03-e5691ef7598b"]}],"mendeley":{"formattedCitation":"[29]","plainTextFormattedCitation":"[29]","previouslyFormattedCitation":"[29]"},"properties":{"noteIndex":0},"schema":"https://github.com/citation-style-language/schema/raw/master/csl-citation.json"}</w:instrText>
            </w:r>
            <w:r w:rsidR="00E530E4">
              <w:rPr>
                <w:lang w:val="en-GB"/>
              </w:rPr>
              <w:fldChar w:fldCharType="separate"/>
            </w:r>
            <w:r w:rsidR="00E530E4" w:rsidRPr="00E530E4">
              <w:rPr>
                <w:noProof/>
                <w:lang w:val="en-GB"/>
              </w:rPr>
              <w:t>[29]</w:t>
            </w:r>
            <w:r w:rsidR="00E530E4">
              <w:rPr>
                <w:lang w:val="en-GB"/>
              </w:rPr>
              <w:fldChar w:fldCharType="end"/>
            </w:r>
          </w:p>
        </w:tc>
        <w:tc>
          <w:tcPr>
            <w:tcW w:w="3827" w:type="dxa"/>
            <w:shd w:val="clear" w:color="auto" w:fill="auto"/>
            <w:tcMar>
              <w:left w:w="0" w:type="dxa"/>
              <w:right w:w="0" w:type="dxa"/>
            </w:tcMar>
          </w:tcPr>
          <w:p w14:paraId="1D39C39B" w14:textId="77777777" w:rsidR="00CA6E7C" w:rsidRPr="00692208" w:rsidRDefault="008A54D4" w:rsidP="00D10D7D">
            <w:pPr>
              <w:pStyle w:val="BodytextIndented"/>
              <w:ind w:left="317" w:firstLine="0"/>
              <w:jc w:val="left"/>
              <w:rPr>
                <w:lang w:val="en-GB"/>
              </w:rPr>
            </w:pPr>
            <w:r w:rsidRPr="00692208">
              <w:rPr>
                <w:lang w:val="en-GB"/>
              </w:rPr>
              <w:t>Towards adaptive open learning environments: Evaluating the precision of identifying learning styles by tracking learners’ behaviours</w:t>
            </w:r>
          </w:p>
        </w:tc>
        <w:tc>
          <w:tcPr>
            <w:tcW w:w="1560" w:type="dxa"/>
          </w:tcPr>
          <w:p w14:paraId="4C11DD6F" w14:textId="77777777" w:rsidR="00CA6E7C" w:rsidRPr="00692208" w:rsidRDefault="008A54D4" w:rsidP="00D10D7D">
            <w:pPr>
              <w:pStyle w:val="BodytextIndented"/>
              <w:ind w:left="317" w:firstLine="0"/>
              <w:jc w:val="center"/>
              <w:rPr>
                <w:lang w:val="en-GB"/>
              </w:rPr>
            </w:pPr>
            <w:r w:rsidRPr="00692208">
              <w:rPr>
                <w:lang w:val="en-GB"/>
              </w:rPr>
              <w:t>2015</w:t>
            </w:r>
          </w:p>
        </w:tc>
      </w:tr>
      <w:tr w:rsidR="00BA4701" w14:paraId="1F8A82B1" w14:textId="77777777" w:rsidTr="00A96477">
        <w:trPr>
          <w:cantSplit/>
          <w:jc w:val="center"/>
        </w:trPr>
        <w:tc>
          <w:tcPr>
            <w:tcW w:w="709" w:type="dxa"/>
            <w:shd w:val="clear" w:color="auto" w:fill="auto"/>
            <w:tcMar>
              <w:left w:w="0" w:type="dxa"/>
              <w:right w:w="0" w:type="dxa"/>
            </w:tcMar>
          </w:tcPr>
          <w:p w14:paraId="258589B8" w14:textId="77777777" w:rsidR="00CA6E7C" w:rsidRDefault="00CA6E7C" w:rsidP="00D10D7D">
            <w:pPr>
              <w:pStyle w:val="BodytextIndented"/>
              <w:ind w:firstLine="0"/>
              <w:jc w:val="center"/>
              <w:rPr>
                <w:lang w:val="en-GB"/>
              </w:rPr>
            </w:pPr>
            <w:r>
              <w:rPr>
                <w:lang w:val="en-GB"/>
              </w:rPr>
              <w:t>23</w:t>
            </w:r>
          </w:p>
        </w:tc>
        <w:tc>
          <w:tcPr>
            <w:tcW w:w="2835" w:type="dxa"/>
          </w:tcPr>
          <w:p w14:paraId="0F012E3D" w14:textId="77777777" w:rsidR="00CA6E7C" w:rsidRPr="00ED1960" w:rsidRDefault="00606BC1" w:rsidP="00D10D7D">
            <w:pPr>
              <w:pStyle w:val="BodytextIndented"/>
              <w:ind w:firstLine="0"/>
              <w:jc w:val="left"/>
              <w:rPr>
                <w:lang w:val="en-GB"/>
              </w:rPr>
            </w:pPr>
            <w:r w:rsidRPr="00606BC1">
              <w:rPr>
                <w:lang w:val="en-GB"/>
              </w:rPr>
              <w:t>Sara M González-Betancor, Alicia Bolívar-Cruz, dan Domingo Verano-Tacoronte</w:t>
            </w:r>
            <w:r w:rsidR="00E530E4">
              <w:rPr>
                <w:lang w:val="en-GB"/>
              </w:rPr>
              <w:t xml:space="preserve"> </w:t>
            </w:r>
            <w:r w:rsidR="00E530E4">
              <w:rPr>
                <w:lang w:val="en-GB"/>
              </w:rPr>
              <w:fldChar w:fldCharType="begin" w:fldLock="1"/>
            </w:r>
            <w:r w:rsidR="00E530E4">
              <w:rPr>
                <w:lang w:val="en-GB"/>
              </w:rPr>
              <w:instrText>ADDIN CSL_CITATION {"citationItems":[{"id":"ITEM-1","itemData":{"DOI":"10.1177/1469787417735604","ISSN":"17412625","abstract":"Self-assessment activities are increasingly popular in the classrooms. But regarding self-assessment accuracy, mixed results are reported without clear reasons for this. This article addresses the impact of gender and performance on self-assessment accuracy. To evaluate self-assessment accuracy, peer and professor assessments are used as reference. A research project, relating to the assessment of oral presentations using scoring rubrics, is conducted in two university degrees. Data from 155 self-assessments and more than 12,000 peer and professor assessments are gathered. The analysis differentiates by degree, gender and level of performance in the assessed competency. The results show that self-assessment accuracy is low and related to the student’s gender, that men rate themselves higher than women do, and that even using a scoring rubric, students receiving higher marks from professors are more accurate than students receiving lower marks.","author":[{"dropping-particle":"","family":"González-Betancor","given":"Sara M.","non-dropping-particle":"","parse-names":false,"suffix":""},{"dropping-particle":"","family":"Bolívar-Cruz","given":"Alicia","non-dropping-particle":"","parse-names":false,"suffix":""},{"dropping-particle":"","family":"Verano-Tacoronte","given":"Domingo","non-dropping-particle":"","parse-names":false,"suffix":""}],"container-title":"Active Learning in Higher Education","id":"ITEM-1","issue":"2","issued":{"date-parts":[["2019"]]},"page":"101-114","title":"Self-assessment accuracy in higher education: The influence of gender and performance of university students","type":"article-journal","volume":"20"},"uris":["http://www.mendeley.com/documents/?uuid=b2f208bc-d47b-4bfb-8032-16b52d572471"]}],"mendeley":{"formattedCitation":"[30]","plainTextFormattedCitation":"[30]","previouslyFormattedCitation":"[30]"},"properties":{"noteIndex":0},"schema":"https://github.com/citation-style-language/schema/raw/master/csl-citation.json"}</w:instrText>
            </w:r>
            <w:r w:rsidR="00E530E4">
              <w:rPr>
                <w:lang w:val="en-GB"/>
              </w:rPr>
              <w:fldChar w:fldCharType="separate"/>
            </w:r>
            <w:r w:rsidR="00E530E4" w:rsidRPr="00E530E4">
              <w:rPr>
                <w:noProof/>
                <w:lang w:val="en-GB"/>
              </w:rPr>
              <w:t>[30]</w:t>
            </w:r>
            <w:r w:rsidR="00E530E4">
              <w:rPr>
                <w:lang w:val="en-GB"/>
              </w:rPr>
              <w:fldChar w:fldCharType="end"/>
            </w:r>
          </w:p>
        </w:tc>
        <w:tc>
          <w:tcPr>
            <w:tcW w:w="3827" w:type="dxa"/>
            <w:shd w:val="clear" w:color="auto" w:fill="auto"/>
            <w:tcMar>
              <w:left w:w="0" w:type="dxa"/>
              <w:right w:w="0" w:type="dxa"/>
            </w:tcMar>
          </w:tcPr>
          <w:p w14:paraId="3B579E32" w14:textId="77777777" w:rsidR="00CA6E7C" w:rsidRPr="00692208" w:rsidRDefault="00606BC1" w:rsidP="00D10D7D">
            <w:pPr>
              <w:pStyle w:val="BodytextIndented"/>
              <w:ind w:left="284" w:firstLine="0"/>
              <w:jc w:val="left"/>
              <w:rPr>
                <w:lang w:val="en-GB"/>
              </w:rPr>
            </w:pPr>
            <w:r w:rsidRPr="00692208">
              <w:rPr>
                <w:lang w:val="en-GB"/>
              </w:rPr>
              <w:t>Self-assessment accuracy in higher education: The influence of gender and performance of university students</w:t>
            </w:r>
          </w:p>
        </w:tc>
        <w:tc>
          <w:tcPr>
            <w:tcW w:w="1560" w:type="dxa"/>
          </w:tcPr>
          <w:p w14:paraId="2B5CBB4F" w14:textId="77777777" w:rsidR="00CA6E7C" w:rsidRPr="00692208" w:rsidRDefault="00C64C26" w:rsidP="00D10D7D">
            <w:pPr>
              <w:pStyle w:val="BodytextIndented"/>
              <w:jc w:val="center"/>
              <w:rPr>
                <w:lang w:val="en-GB"/>
              </w:rPr>
            </w:pPr>
            <w:r w:rsidRPr="00692208">
              <w:rPr>
                <w:lang w:val="en-GB"/>
              </w:rPr>
              <w:t>2017</w:t>
            </w:r>
          </w:p>
        </w:tc>
      </w:tr>
      <w:tr w:rsidR="00BA4701" w14:paraId="75DC60C8" w14:textId="77777777" w:rsidTr="00A96477">
        <w:trPr>
          <w:cantSplit/>
          <w:jc w:val="center"/>
        </w:trPr>
        <w:tc>
          <w:tcPr>
            <w:tcW w:w="709" w:type="dxa"/>
            <w:shd w:val="clear" w:color="auto" w:fill="auto"/>
            <w:tcMar>
              <w:left w:w="0" w:type="dxa"/>
              <w:right w:w="0" w:type="dxa"/>
            </w:tcMar>
          </w:tcPr>
          <w:p w14:paraId="1FC49499" w14:textId="77777777" w:rsidR="00CA6E7C" w:rsidRDefault="00CA6E7C" w:rsidP="00D10D7D">
            <w:pPr>
              <w:pStyle w:val="BodytextIndented"/>
              <w:ind w:firstLine="0"/>
              <w:jc w:val="center"/>
              <w:rPr>
                <w:lang w:val="en-GB"/>
              </w:rPr>
            </w:pPr>
            <w:r>
              <w:rPr>
                <w:lang w:val="en-GB"/>
              </w:rPr>
              <w:t>24</w:t>
            </w:r>
          </w:p>
        </w:tc>
        <w:tc>
          <w:tcPr>
            <w:tcW w:w="2835" w:type="dxa"/>
          </w:tcPr>
          <w:p w14:paraId="53857252" w14:textId="77777777" w:rsidR="00CA6E7C" w:rsidRPr="00ED1960" w:rsidRDefault="00C64C26" w:rsidP="00D10D7D">
            <w:pPr>
              <w:pStyle w:val="BodytextIndented"/>
              <w:ind w:firstLine="0"/>
              <w:jc w:val="left"/>
              <w:rPr>
                <w:lang w:val="en-GB"/>
              </w:rPr>
            </w:pPr>
            <w:r w:rsidRPr="00C64C26">
              <w:rPr>
                <w:lang w:val="en-GB"/>
              </w:rPr>
              <w:t>S. Ikbal, A. Tamhane, B. Sengupta, M. Chetlur, S. Ghosh, dan J. Appleton</w:t>
            </w:r>
            <w:r w:rsidR="00E530E4">
              <w:rPr>
                <w:lang w:val="en-GB"/>
              </w:rPr>
              <w:t xml:space="preserve"> </w:t>
            </w:r>
            <w:r w:rsidR="00E530E4">
              <w:rPr>
                <w:lang w:val="en-GB"/>
              </w:rPr>
              <w:fldChar w:fldCharType="begin" w:fldLock="1"/>
            </w:r>
            <w:r w:rsidR="005E0E98">
              <w:rPr>
                <w:lang w:val="en-GB"/>
              </w:rPr>
              <w:instrText>ADDIN CSL_CITATION {"citationItems":[{"id":"ITEM-1","itemData":{"DOI":"10.1147/JRD.2015.2458631","ISSN":"21518556","abstract":"Digitization of educational data and processes has enabled widespread development of technologies to support personalized learning. A key requirement in any personalized learning setup is to be able to accurately estimate students' weaknesses so they can be addressed appropriately during personalization. In this paper, we describe our work toward identifying K-12 students at risk of poor academic performance, with a special focus on 1) identifying specific components of varying granularity in the curriculum (such as subjects, topics, and concepts) that a student is finding difficult and 2) determining how early we can accurately estimate the risks. Such predictions could help teachers in planning effective personalized interventions for at-risk students and hence could help in achieving a long-term goal of minimal grade-level retentions and school dropouts. To predict performance risks, we use statistical models that utilize historical student data to learn patterns in their longitudinal journeys that correspond to performance risks. We describe in detail the risk prediction system we developed and its evaluation using data from one of the largest school districts in the United States. The experimental results demonstrate the ability of our system to make accurate risk predictions for subject-specific outcomes of varying granularity across different grade levels, early in a student's K-12 journey.","author":[{"dropping-particle":"","family":"Ikbal","given":"S.","non-dropping-particle":"","parse-names":false,"suffix":""},{"dropping-particle":"","family":"Tamhane","given":"A.","non-dropping-particle":"","parse-names":false,"suffix":""},{"dropping-particle":"","family":"Sengupta","given":"B.","non-dropping-particle":"","parse-names":false,"suffix":""},{"dropping-particle":"","family":"Chetlur","given":"M.","non-dropping-particle":"","parse-names":false,"suffix":""},{"dropping-particle":"","family":"Ghosh","given":"S.","non-dropping-particle":"","parse-names":false,"suffix":""},{"dropping-particle":"","family":"Appleton","given":"J.","non-dropping-particle":"","parse-names":false,"suffix":""}],"container-title":"IBM Journal of Research and Development","id":"ITEM-1","issue":"6","issued":{"date-parts":[["2015"]]},"page":"1-14","title":"On early prediction of risks in academic performance for students","type":"article-journal","volume":"59"},"uris":["http://www.mendeley.com/documents/?uuid=0118026e-1749-43e4-b944-850e339fe693"]}],"mendeley":{"formattedCitation":"[31]","plainTextFormattedCitation":"[31]","previouslyFormattedCitation":"[31]"},"properties":{"noteIndex":0},"schema":"https://github.com/citation-style-language/schema/raw/master/csl-citation.json"}</w:instrText>
            </w:r>
            <w:r w:rsidR="00E530E4">
              <w:rPr>
                <w:lang w:val="en-GB"/>
              </w:rPr>
              <w:fldChar w:fldCharType="separate"/>
            </w:r>
            <w:r w:rsidR="00E530E4" w:rsidRPr="00E530E4">
              <w:rPr>
                <w:noProof/>
                <w:lang w:val="en-GB"/>
              </w:rPr>
              <w:t>[31]</w:t>
            </w:r>
            <w:r w:rsidR="00E530E4">
              <w:rPr>
                <w:lang w:val="en-GB"/>
              </w:rPr>
              <w:fldChar w:fldCharType="end"/>
            </w:r>
          </w:p>
        </w:tc>
        <w:tc>
          <w:tcPr>
            <w:tcW w:w="3827" w:type="dxa"/>
            <w:shd w:val="clear" w:color="auto" w:fill="auto"/>
            <w:tcMar>
              <w:left w:w="0" w:type="dxa"/>
              <w:right w:w="0" w:type="dxa"/>
            </w:tcMar>
          </w:tcPr>
          <w:p w14:paraId="417F8B3B" w14:textId="77777777" w:rsidR="00CA6E7C" w:rsidRPr="00692208" w:rsidRDefault="00C64C26" w:rsidP="00D10D7D">
            <w:pPr>
              <w:pStyle w:val="BodytextIndented"/>
              <w:ind w:left="284" w:firstLine="0"/>
              <w:jc w:val="left"/>
              <w:rPr>
                <w:lang w:val="en-GB"/>
              </w:rPr>
            </w:pPr>
            <w:r w:rsidRPr="00692208">
              <w:rPr>
                <w:lang w:val="en-GB"/>
              </w:rPr>
              <w:t>On early prediction of risks in academic performance for students</w:t>
            </w:r>
          </w:p>
        </w:tc>
        <w:tc>
          <w:tcPr>
            <w:tcW w:w="1560" w:type="dxa"/>
          </w:tcPr>
          <w:p w14:paraId="550D2F4C" w14:textId="77777777" w:rsidR="00CA6E7C" w:rsidRPr="00692208" w:rsidRDefault="00B45B7C" w:rsidP="00D10D7D">
            <w:pPr>
              <w:pStyle w:val="BodytextIndented"/>
              <w:ind w:left="317" w:firstLine="0"/>
              <w:jc w:val="center"/>
              <w:rPr>
                <w:lang w:val="en-GB"/>
              </w:rPr>
            </w:pPr>
            <w:r w:rsidRPr="00692208">
              <w:rPr>
                <w:lang w:val="en-GB"/>
              </w:rPr>
              <w:t>2015</w:t>
            </w:r>
          </w:p>
        </w:tc>
      </w:tr>
      <w:tr w:rsidR="00BA4701" w14:paraId="4DA5DD13" w14:textId="77777777" w:rsidTr="00A96477">
        <w:trPr>
          <w:cantSplit/>
          <w:jc w:val="center"/>
        </w:trPr>
        <w:tc>
          <w:tcPr>
            <w:tcW w:w="709" w:type="dxa"/>
            <w:shd w:val="clear" w:color="auto" w:fill="auto"/>
            <w:tcMar>
              <w:left w:w="0" w:type="dxa"/>
              <w:right w:w="0" w:type="dxa"/>
            </w:tcMar>
          </w:tcPr>
          <w:p w14:paraId="2279C142" w14:textId="77777777" w:rsidR="00CA6E7C" w:rsidRDefault="00CA6E7C" w:rsidP="00D10D7D">
            <w:pPr>
              <w:pStyle w:val="BodytextIndented"/>
              <w:ind w:firstLine="0"/>
              <w:jc w:val="center"/>
              <w:rPr>
                <w:lang w:val="en-GB"/>
              </w:rPr>
            </w:pPr>
            <w:r>
              <w:rPr>
                <w:lang w:val="en-GB"/>
              </w:rPr>
              <w:t>25</w:t>
            </w:r>
          </w:p>
        </w:tc>
        <w:tc>
          <w:tcPr>
            <w:tcW w:w="2835" w:type="dxa"/>
          </w:tcPr>
          <w:p w14:paraId="33F7CA55" w14:textId="77777777" w:rsidR="00CA6E7C" w:rsidRPr="00ED1960" w:rsidRDefault="00B45B7C" w:rsidP="00D10D7D">
            <w:pPr>
              <w:pStyle w:val="BodytextIndented"/>
              <w:ind w:firstLine="0"/>
              <w:jc w:val="left"/>
              <w:rPr>
                <w:lang w:val="en-GB"/>
              </w:rPr>
            </w:pPr>
            <w:r w:rsidRPr="00B45B7C">
              <w:rPr>
                <w:lang w:val="en-GB"/>
              </w:rPr>
              <w:t xml:space="preserve">Niki Gitinabard, Yiqiao Xu, Sarah Heckman, Tiffany Barnes, </w:t>
            </w:r>
            <w:r>
              <w:rPr>
                <w:lang w:val="en-GB"/>
              </w:rPr>
              <w:t xml:space="preserve">dan </w:t>
            </w:r>
            <w:r w:rsidRPr="00B45B7C">
              <w:rPr>
                <w:lang w:val="en-GB"/>
              </w:rPr>
              <w:t>Collin F. Lynch</w:t>
            </w:r>
            <w:r w:rsidR="005E0E98">
              <w:rPr>
                <w:lang w:val="en-GB"/>
              </w:rPr>
              <w:t xml:space="preserve"> </w:t>
            </w:r>
            <w:r w:rsidR="00E530E4">
              <w:rPr>
                <w:lang w:val="en-GB"/>
              </w:rPr>
              <w:t xml:space="preserve"> </w:t>
            </w:r>
            <w:r w:rsidR="005E0E98">
              <w:rPr>
                <w:lang w:val="en-GB"/>
              </w:rPr>
              <w:fldChar w:fldCharType="begin" w:fldLock="1"/>
            </w:r>
            <w:r w:rsidR="005E0E98">
              <w:rPr>
                <w:lang w:val="en-GB"/>
              </w:rPr>
              <w:instrText>ADDIN CSL_CITATION {"citationItems":[{"id":"ITEM-1","itemData":{"DOI":"10.1109/TLT.2019.2911832","ISSN":"19391382","abstract":"Blended courses that mix in-person instruction with online platforms are increasingly common in secondary education. These platforms record a rich amount of data on students' study habits and social interactions. Prior research has shown that these metrics are correlated with students performance in face-to-face classes. However, predictive models for blended courses are still limited and have not yet succeeded at early prediction or cross-class predictions, even for repeated offerings of the same course. In this paper, we use data from two offerings of two different undergraduate courses to train and evaluate predictive models of student performance based on persistent student characteristics including study habits and social interactions. We analyze the performance of these models on the same offering, on different offerings of the same course, and across courses to see how well they generalize. We also evaluate the models on different segments of the courses to determine how early reliable predictions can be made. This paper tells us in part how much data is required to make robust predictions and how cross-class data may be used, or not, to boost model performance. The results of this study will help us better understand how similar the study habits, social activities, and the teamwork styles are across semesters for students in each performance category. These trained models also provide an avenue to improve our existing support platforms to better support struggling students early in the semester with the goal of providing timely intervention.","author":[{"dropping-particle":"","family":"Gitinabard","given":"Niki","non-dropping-particle":"","parse-names":false,"suffix":""},{"dropping-particle":"","family":"Xu","given":"Yiqiao","non-dropping-particle":"","parse-names":false,"suffix":""},{"dropping-particle":"","family":"Heckman","given":"Sarah","non-dropping-particle":"","parse-names":false,"suffix":""},{"dropping-particle":"","family":"Barnes","given":"Tiffany","non-dropping-particle":"","parse-names":false,"suffix":""},{"dropping-particle":"","family":"Lynch","given":"Collin F.","non-dropping-particle":"","parse-names":false,"suffix":""}],"container-title":"IEEE Transactions on Learning Technologies","id":"ITEM-1","issue":"2","issued":{"date-parts":[["2019"]]},"page":"184-197","title":"How Widely Can Prediction Models Be Generalized? Performance Prediction in Blended Courses","type":"article-journal","volume":"12"},"uris":["http://www.mendeley.com/documents/?uuid=aa4628f3-28da-4469-9562-51318f29c442"]}],"mendeley":{"formattedCitation":"[32]","plainTextFormattedCitation":"[32]","previouslyFormattedCitation":"[32]"},"properties":{"noteIndex":0},"schema":"https://github.com/citation-style-language/schema/raw/master/csl-citation.json"}</w:instrText>
            </w:r>
            <w:r w:rsidR="005E0E98">
              <w:rPr>
                <w:lang w:val="en-GB"/>
              </w:rPr>
              <w:fldChar w:fldCharType="separate"/>
            </w:r>
            <w:r w:rsidR="005E0E98" w:rsidRPr="005E0E98">
              <w:rPr>
                <w:noProof/>
                <w:lang w:val="en-GB"/>
              </w:rPr>
              <w:t>[32]</w:t>
            </w:r>
            <w:r w:rsidR="005E0E98">
              <w:rPr>
                <w:lang w:val="en-GB"/>
              </w:rPr>
              <w:fldChar w:fldCharType="end"/>
            </w:r>
          </w:p>
        </w:tc>
        <w:tc>
          <w:tcPr>
            <w:tcW w:w="3827" w:type="dxa"/>
            <w:shd w:val="clear" w:color="auto" w:fill="auto"/>
            <w:tcMar>
              <w:left w:w="0" w:type="dxa"/>
              <w:right w:w="0" w:type="dxa"/>
            </w:tcMar>
          </w:tcPr>
          <w:p w14:paraId="4419F20D" w14:textId="77777777" w:rsidR="00CA6E7C" w:rsidRPr="00692208" w:rsidRDefault="00B45B7C" w:rsidP="00D10D7D">
            <w:pPr>
              <w:pStyle w:val="BodytextIndented"/>
              <w:ind w:left="317" w:firstLine="0"/>
              <w:jc w:val="left"/>
              <w:rPr>
                <w:lang w:val="en-GB"/>
              </w:rPr>
            </w:pPr>
            <w:r w:rsidRPr="00692208">
              <w:rPr>
                <w:lang w:val="en-GB"/>
              </w:rPr>
              <w:t>How Widely Can Prediction Models be Generalized? Performance Prediction in Blended Courses</w:t>
            </w:r>
          </w:p>
        </w:tc>
        <w:tc>
          <w:tcPr>
            <w:tcW w:w="1560" w:type="dxa"/>
          </w:tcPr>
          <w:p w14:paraId="3267A807" w14:textId="77777777" w:rsidR="00CA6E7C" w:rsidRPr="00692208" w:rsidRDefault="00396B66" w:rsidP="00D10D7D">
            <w:pPr>
              <w:pStyle w:val="BodytextIndented"/>
              <w:ind w:left="317" w:firstLine="0"/>
              <w:jc w:val="center"/>
              <w:rPr>
                <w:lang w:val="en-GB"/>
              </w:rPr>
            </w:pPr>
            <w:r w:rsidRPr="00692208">
              <w:rPr>
                <w:lang w:val="en-GB"/>
              </w:rPr>
              <w:t>2018</w:t>
            </w:r>
          </w:p>
        </w:tc>
      </w:tr>
      <w:tr w:rsidR="00E530E4" w:rsidRPr="00CE57CF" w14:paraId="0BEC1221" w14:textId="77777777" w:rsidTr="00CA6E7C">
        <w:trPr>
          <w:cantSplit/>
          <w:trHeight w:val="80"/>
          <w:jc w:val="center"/>
        </w:trPr>
        <w:tc>
          <w:tcPr>
            <w:tcW w:w="709" w:type="dxa"/>
            <w:shd w:val="clear" w:color="auto" w:fill="auto"/>
            <w:tcMar>
              <w:left w:w="0" w:type="dxa"/>
              <w:right w:w="0" w:type="dxa"/>
            </w:tcMar>
          </w:tcPr>
          <w:p w14:paraId="6F1EF525" w14:textId="77777777" w:rsidR="00BD31C2" w:rsidRPr="00CE57CF" w:rsidRDefault="00CA6E7C" w:rsidP="00D10D7D">
            <w:pPr>
              <w:tabs>
                <w:tab w:val="left" w:pos="567"/>
              </w:tabs>
              <w:spacing w:before="40"/>
              <w:ind w:left="28"/>
              <w:jc w:val="center"/>
              <w:rPr>
                <w:rFonts w:ascii="Times New Roman" w:hAnsi="Times New Roman"/>
                <w:color w:val="000000"/>
                <w:szCs w:val="22"/>
              </w:rPr>
            </w:pPr>
            <w:r>
              <w:rPr>
                <w:rFonts w:ascii="Times New Roman" w:hAnsi="Times New Roman"/>
                <w:color w:val="000000"/>
                <w:szCs w:val="22"/>
              </w:rPr>
              <w:t>26</w:t>
            </w:r>
          </w:p>
        </w:tc>
        <w:tc>
          <w:tcPr>
            <w:tcW w:w="2835" w:type="dxa"/>
          </w:tcPr>
          <w:p w14:paraId="11AF8514" w14:textId="77777777" w:rsidR="00BD31C2" w:rsidRPr="00396B66" w:rsidRDefault="0045124E" w:rsidP="00D10D7D">
            <w:pPr>
              <w:tabs>
                <w:tab w:val="left" w:pos="567"/>
              </w:tabs>
              <w:spacing w:before="40"/>
              <w:rPr>
                <w:rFonts w:ascii="Times New Roman" w:hAnsi="Times New Roman"/>
                <w:color w:val="000000"/>
                <w:szCs w:val="22"/>
              </w:rPr>
            </w:pPr>
            <w:r>
              <w:rPr>
                <w:rFonts w:ascii="Times New Roman" w:hAnsi="Times New Roman"/>
                <w:color w:val="000000"/>
                <w:szCs w:val="22"/>
              </w:rPr>
              <w:t xml:space="preserve">David Baneres, M. Elena Rodríguez, dan </w:t>
            </w:r>
            <w:r w:rsidRPr="0045124E">
              <w:rPr>
                <w:rFonts w:ascii="Times New Roman" w:hAnsi="Times New Roman"/>
                <w:color w:val="000000"/>
                <w:szCs w:val="22"/>
              </w:rPr>
              <w:t>Montse Serra</w:t>
            </w:r>
            <w:r w:rsidR="005E0E98">
              <w:rPr>
                <w:rFonts w:ascii="Times New Roman" w:hAnsi="Times New Roman"/>
                <w:color w:val="000000"/>
                <w:szCs w:val="22"/>
              </w:rPr>
              <w:t xml:space="preserve"> </w:t>
            </w:r>
            <w:r w:rsidR="005E0E98">
              <w:rPr>
                <w:rFonts w:ascii="Times New Roman" w:hAnsi="Times New Roman"/>
                <w:color w:val="000000"/>
                <w:szCs w:val="22"/>
              </w:rPr>
              <w:fldChar w:fldCharType="begin" w:fldLock="1"/>
            </w:r>
            <w:r w:rsidR="00BA4701">
              <w:rPr>
                <w:rFonts w:ascii="Times New Roman" w:hAnsi="Times New Roman"/>
                <w:color w:val="000000"/>
                <w:szCs w:val="22"/>
              </w:rPr>
              <w:instrText>ADDIN CSL_CITATION {"citationItems":[{"id":"ITEM-1","itemData":{"DOI":"10.1109/TLT.2019.2912167","ISSN":"19391382","abstract":"Identifying at-risk students as soon as possible is a challenge in educational institutions. Decreasing the time lag between identification and real at-risk state may significantly reduce the risk of failure or disengage. In small courses, their identification is relatively easy, but it is impractical on larger ones. Current Learning Management Systems store a large amount of data that could help to generate predictive models to early identification of students in online and blended learning. The contribution of this paper is twofold: First, a new adaptive predictive model is presented based only on students' grades specifically trained for each course. A deep analysis is performed in the whole institution to evaluate its performance accuracy. Second, an early warning system is developed, focusing on dashboards visualization for stakeholders (i.e., students and teachers) and an early feedback prediction system to intervene in the case of at-risk identification. The early warning system has been evaluated in a case study on a first-year undergraduate course in computer science. We show the accuracy of the correct identification of at-risk students, the students' appraisal, and the most common factors that lead to at-risk level.","author":[{"dropping-particle":"","family":"Baneres","given":"David","non-dropping-particle":"","parse-names":false,"suffix":""},{"dropping-particle":"","family":"Rodríguez-Gonzalez","given":"M. Elena","non-dropping-particle":"","parse-names":false,"suffix":""},{"dropping-particle":"","family":"Serra","given":"Montse","non-dropping-particle":"","parse-names":false,"suffix":""}],"container-title":"IEEE Transactions on Learning Technologies","id":"ITEM-1","issue":"2","issued":{"date-parts":[["2019"]]},"page":"249-263","title":"An Early Feedback Prediction System for Learners At-Risk within a First-Year Higher Education Course","type":"article-journal","volume":"12"},"uris":["http://www.mendeley.com/documents/?uuid=56d59021-fd18-4630-8170-027c40f25596"]}],"mendeley":{"formattedCitation":"[33]","plainTextFormattedCitation":"[33]","previouslyFormattedCitation":"[33]"},"properties":{"noteIndex":0},"schema":"https://github.com/citation-style-language/schema/raw/master/csl-citation.json"}</w:instrText>
            </w:r>
            <w:r w:rsidR="005E0E98">
              <w:rPr>
                <w:rFonts w:ascii="Times New Roman" w:hAnsi="Times New Roman"/>
                <w:color w:val="000000"/>
                <w:szCs w:val="22"/>
              </w:rPr>
              <w:fldChar w:fldCharType="separate"/>
            </w:r>
            <w:r w:rsidR="005E0E98" w:rsidRPr="005E0E98">
              <w:rPr>
                <w:rFonts w:ascii="Times New Roman" w:hAnsi="Times New Roman"/>
                <w:noProof/>
                <w:color w:val="000000"/>
                <w:szCs w:val="22"/>
              </w:rPr>
              <w:t>[33]</w:t>
            </w:r>
            <w:r w:rsidR="005E0E98">
              <w:rPr>
                <w:rFonts w:ascii="Times New Roman" w:hAnsi="Times New Roman"/>
                <w:color w:val="000000"/>
                <w:szCs w:val="22"/>
              </w:rPr>
              <w:fldChar w:fldCharType="end"/>
            </w:r>
          </w:p>
        </w:tc>
        <w:tc>
          <w:tcPr>
            <w:tcW w:w="3827" w:type="dxa"/>
            <w:shd w:val="clear" w:color="auto" w:fill="auto"/>
            <w:tcMar>
              <w:left w:w="0" w:type="dxa"/>
              <w:right w:w="0" w:type="dxa"/>
            </w:tcMar>
          </w:tcPr>
          <w:p w14:paraId="159114D4" w14:textId="77777777" w:rsidR="00BD31C2" w:rsidRPr="00CE57CF" w:rsidRDefault="0045124E" w:rsidP="00D10D7D">
            <w:pPr>
              <w:tabs>
                <w:tab w:val="left" w:pos="567"/>
              </w:tabs>
              <w:spacing w:before="40"/>
              <w:ind w:left="284"/>
              <w:rPr>
                <w:rFonts w:ascii="Times New Roman" w:hAnsi="Times New Roman"/>
                <w:color w:val="000000"/>
                <w:szCs w:val="22"/>
              </w:rPr>
            </w:pPr>
            <w:r w:rsidRPr="0045124E">
              <w:rPr>
                <w:rFonts w:ascii="Times New Roman" w:hAnsi="Times New Roman"/>
                <w:color w:val="000000"/>
                <w:szCs w:val="22"/>
              </w:rPr>
              <w:t>An Early Feedback Prediction System for Learners At-risk within a First-year Higher Education Course</w:t>
            </w:r>
          </w:p>
        </w:tc>
        <w:tc>
          <w:tcPr>
            <w:tcW w:w="1560" w:type="dxa"/>
          </w:tcPr>
          <w:p w14:paraId="79D8C435" w14:textId="77777777" w:rsidR="00BD31C2" w:rsidRPr="00692208" w:rsidRDefault="0045124E" w:rsidP="001C01BB">
            <w:pPr>
              <w:tabs>
                <w:tab w:val="left" w:pos="567"/>
              </w:tabs>
              <w:spacing w:before="40"/>
              <w:ind w:firstLine="284"/>
              <w:jc w:val="center"/>
              <w:rPr>
                <w:rFonts w:ascii="Times New Roman" w:hAnsi="Times New Roman"/>
                <w:color w:val="000000"/>
                <w:szCs w:val="22"/>
              </w:rPr>
            </w:pPr>
            <w:r w:rsidRPr="00692208">
              <w:rPr>
                <w:rFonts w:ascii="Times New Roman" w:hAnsi="Times New Roman"/>
                <w:color w:val="000000"/>
                <w:szCs w:val="22"/>
              </w:rPr>
              <w:t>2018</w:t>
            </w:r>
          </w:p>
        </w:tc>
      </w:tr>
      <w:tr w:rsidR="00BA4701" w:rsidRPr="00CE57CF" w14:paraId="0C93F7D5" w14:textId="77777777" w:rsidTr="00CA6E7C">
        <w:trPr>
          <w:cantSplit/>
          <w:trHeight w:val="80"/>
          <w:jc w:val="center"/>
        </w:trPr>
        <w:tc>
          <w:tcPr>
            <w:tcW w:w="709" w:type="dxa"/>
            <w:shd w:val="clear" w:color="auto" w:fill="auto"/>
            <w:tcMar>
              <w:left w:w="0" w:type="dxa"/>
              <w:right w:w="0" w:type="dxa"/>
            </w:tcMar>
          </w:tcPr>
          <w:p w14:paraId="7A802C9D" w14:textId="77777777" w:rsidR="00CA6E7C" w:rsidRDefault="00CA6E7C" w:rsidP="00D10D7D">
            <w:pPr>
              <w:tabs>
                <w:tab w:val="left" w:pos="567"/>
              </w:tabs>
              <w:spacing w:before="40"/>
              <w:ind w:left="28"/>
              <w:jc w:val="center"/>
              <w:rPr>
                <w:rFonts w:ascii="Times New Roman" w:hAnsi="Times New Roman"/>
                <w:color w:val="000000"/>
                <w:szCs w:val="22"/>
              </w:rPr>
            </w:pPr>
            <w:r>
              <w:rPr>
                <w:rFonts w:ascii="Times New Roman" w:hAnsi="Times New Roman"/>
                <w:color w:val="000000"/>
                <w:szCs w:val="22"/>
              </w:rPr>
              <w:t>27</w:t>
            </w:r>
          </w:p>
        </w:tc>
        <w:tc>
          <w:tcPr>
            <w:tcW w:w="2835" w:type="dxa"/>
          </w:tcPr>
          <w:p w14:paraId="223C7ED2" w14:textId="77777777" w:rsidR="00CA6E7C" w:rsidRPr="00CE57CF" w:rsidRDefault="00852814" w:rsidP="00D10D7D">
            <w:pPr>
              <w:tabs>
                <w:tab w:val="left" w:pos="567"/>
              </w:tabs>
              <w:spacing w:before="40"/>
              <w:rPr>
                <w:rFonts w:ascii="Times New Roman" w:hAnsi="Times New Roman"/>
                <w:color w:val="000000"/>
                <w:szCs w:val="22"/>
              </w:rPr>
            </w:pPr>
            <w:r w:rsidRPr="00852814">
              <w:rPr>
                <w:rFonts w:ascii="Times New Roman" w:hAnsi="Times New Roman"/>
                <w:color w:val="000000"/>
                <w:szCs w:val="22"/>
              </w:rPr>
              <w:t>Sadique Ahmad</w:t>
            </w:r>
            <w:r>
              <w:rPr>
                <w:rFonts w:ascii="Times New Roman" w:hAnsi="Times New Roman"/>
                <w:color w:val="000000"/>
                <w:szCs w:val="22"/>
              </w:rPr>
              <w:t xml:space="preserve">, Kan Li, </w:t>
            </w:r>
            <w:r w:rsidRPr="00852814">
              <w:rPr>
                <w:rFonts w:ascii="Times New Roman" w:hAnsi="Times New Roman"/>
                <w:color w:val="000000"/>
                <w:szCs w:val="22"/>
              </w:rPr>
              <w:t>Adnan Amin, Muhammad Shahid Anwar,</w:t>
            </w:r>
            <w:r>
              <w:rPr>
                <w:rFonts w:ascii="Times New Roman" w:hAnsi="Times New Roman"/>
                <w:color w:val="000000"/>
                <w:szCs w:val="22"/>
              </w:rPr>
              <w:t xml:space="preserve"> </w:t>
            </w:r>
            <w:r w:rsidR="00615EB7">
              <w:rPr>
                <w:rFonts w:ascii="Times New Roman" w:hAnsi="Times New Roman"/>
                <w:color w:val="000000"/>
                <w:szCs w:val="22"/>
              </w:rPr>
              <w:t>dan</w:t>
            </w:r>
            <w:r>
              <w:rPr>
                <w:rFonts w:ascii="Times New Roman" w:hAnsi="Times New Roman"/>
                <w:color w:val="000000"/>
                <w:szCs w:val="22"/>
              </w:rPr>
              <w:t xml:space="preserve"> W</w:t>
            </w:r>
            <w:r w:rsidRPr="00852814">
              <w:rPr>
                <w:rFonts w:ascii="Times New Roman" w:hAnsi="Times New Roman"/>
                <w:color w:val="000000"/>
                <w:szCs w:val="22"/>
              </w:rPr>
              <w:t>ahab Khan</w:t>
            </w:r>
            <w:r w:rsidR="005E0E98">
              <w:rPr>
                <w:rFonts w:ascii="Times New Roman" w:hAnsi="Times New Roman"/>
                <w:color w:val="000000"/>
                <w:szCs w:val="22"/>
              </w:rPr>
              <w:t xml:space="preserve"> </w:t>
            </w:r>
            <w:r w:rsidR="00BA4701">
              <w:rPr>
                <w:rFonts w:ascii="Times New Roman" w:hAnsi="Times New Roman"/>
                <w:color w:val="000000"/>
                <w:szCs w:val="22"/>
              </w:rPr>
              <w:fldChar w:fldCharType="begin" w:fldLock="1"/>
            </w:r>
            <w:r w:rsidR="00BA4701">
              <w:rPr>
                <w:rFonts w:ascii="Times New Roman" w:hAnsi="Times New Roman"/>
                <w:color w:val="000000"/>
                <w:szCs w:val="22"/>
              </w:rPr>
              <w:instrText>ADDIN CSL_CITATION {"citationItems":[{"id":"ITEM-1","itemData":{"DOI":"10.1109/ACCESS.2018.2873608","ISSN":"21693536","abstract":"Every year, a large volume of information about students' performance is processed in schools, colleges, and higher studies institutes. This information statistically associates students' performance with their study schedule and family-related characteristics. Recent methods have significantly contributed to student's cognitive skills (CSs) prediction area of research, but they are insufficient to address the challenges created by Study-Related Characteristics (SRC) of a student. Therefore, in the current attempt, we present a multilayer CS measurement method that uses SRC for student's skills prediction. The contributions of the proposed method are threefold. First, during quantization, a multilayer model is initiated by splitting SRC into five factors, and a specific range is assigned to each factor (timing schedules of studying, outing, traveling to school, and free timing as well as parent's relationships). Second, the range of CS (0-20) is divided into 21 periodic intervals (with a period of 1). The component-wise division of SRC and CS is to ensure prediction accuracy that makes the method more testable and maintainable. Third, it simulates the nonlinear relationship between CS intervals and SRC layers using Gauss-Newton method. Finally, we achieved six mathematical models for the SRC. During the experiment, the proposed method is tested on the students' performance data sets. The results reveal that the current approach outperformed the existing CS measurement techniques because we achieved a significant precision (0.979), recall (0.912), F1 score (0.9249), and accuracy measure (0.937) values. In the end, this paper is concluded by comparing the proposed method with competitive student's skills prediction approaches.","author":[{"dropping-particle":"","family":"Ahmad","given":"Sadique","non-dropping-particle":"","parse-names":false,"suffix":""},{"dropping-particle":"","family":"Li","given":"Kan","non-dropping-particle":"","parse-names":false,"suffix":""},{"dropping-particle":"","family":"Amin","given":"Adnan","non-dropping-particle":"","parse-names":false,"suffix":""},{"dropping-particle":"","family":"Anwar","given":"Muhammad Shahid","non-dropping-particle":"","parse-names":false,"suffix":""},{"dropping-particle":"","family":"Khan","given":"Wahab","non-dropping-particle":"","parse-names":false,"suffix":""}],"container-title":"IEEE Access","id":"ITEM-1","issued":{"date-parts":[["2018"]]},"page":"57470-57484","publisher":"IEEE","title":"A multilayer prediction approach for the student cognitive skills measurement","type":"article-journal","volume":"6"},"uris":["http://www.mendeley.com/documents/?uuid=1bc645cc-37c8-4d84-bc3e-f8337f389313"]}],"mendeley":{"formattedCitation":"[34]","plainTextFormattedCitation":"[34]","previouslyFormattedCitation":"[34]"},"properties":{"noteIndex":0},"schema":"https://github.com/citation-style-language/schema/raw/master/csl-citation.json"}</w:instrText>
            </w:r>
            <w:r w:rsidR="00BA4701">
              <w:rPr>
                <w:rFonts w:ascii="Times New Roman" w:hAnsi="Times New Roman"/>
                <w:color w:val="000000"/>
                <w:szCs w:val="22"/>
              </w:rPr>
              <w:fldChar w:fldCharType="separate"/>
            </w:r>
            <w:r w:rsidR="00BA4701" w:rsidRPr="00BA4701">
              <w:rPr>
                <w:rFonts w:ascii="Times New Roman" w:hAnsi="Times New Roman"/>
                <w:noProof/>
                <w:color w:val="000000"/>
                <w:szCs w:val="22"/>
              </w:rPr>
              <w:t>[34]</w:t>
            </w:r>
            <w:r w:rsidR="00BA4701">
              <w:rPr>
                <w:rFonts w:ascii="Times New Roman" w:hAnsi="Times New Roman"/>
                <w:color w:val="000000"/>
                <w:szCs w:val="22"/>
              </w:rPr>
              <w:fldChar w:fldCharType="end"/>
            </w:r>
          </w:p>
        </w:tc>
        <w:tc>
          <w:tcPr>
            <w:tcW w:w="3827" w:type="dxa"/>
            <w:shd w:val="clear" w:color="auto" w:fill="auto"/>
            <w:tcMar>
              <w:left w:w="0" w:type="dxa"/>
              <w:right w:w="0" w:type="dxa"/>
            </w:tcMar>
          </w:tcPr>
          <w:p w14:paraId="05D9F477" w14:textId="77777777" w:rsidR="00CA6E7C" w:rsidRPr="00CE57CF" w:rsidRDefault="00852814" w:rsidP="00D10D7D">
            <w:pPr>
              <w:tabs>
                <w:tab w:val="left" w:pos="567"/>
              </w:tabs>
              <w:spacing w:before="40"/>
              <w:ind w:left="284"/>
              <w:rPr>
                <w:rFonts w:ascii="Times New Roman" w:hAnsi="Times New Roman"/>
                <w:color w:val="000000"/>
                <w:szCs w:val="22"/>
              </w:rPr>
            </w:pPr>
            <w:r w:rsidRPr="00852814">
              <w:rPr>
                <w:rFonts w:ascii="Times New Roman" w:hAnsi="Times New Roman"/>
                <w:color w:val="000000"/>
                <w:szCs w:val="22"/>
              </w:rPr>
              <w:t>A Multilayer Prediction Approach for the Student Cognitive Skills Measurement</w:t>
            </w:r>
          </w:p>
        </w:tc>
        <w:tc>
          <w:tcPr>
            <w:tcW w:w="1560" w:type="dxa"/>
          </w:tcPr>
          <w:p w14:paraId="15843939" w14:textId="77777777" w:rsidR="00CA6E7C" w:rsidRPr="00692208" w:rsidRDefault="00615EB7" w:rsidP="001C01BB">
            <w:pPr>
              <w:tabs>
                <w:tab w:val="left" w:pos="567"/>
              </w:tabs>
              <w:spacing w:before="40"/>
              <w:ind w:firstLine="284"/>
              <w:jc w:val="center"/>
              <w:rPr>
                <w:rFonts w:ascii="Times New Roman" w:hAnsi="Times New Roman"/>
                <w:color w:val="000000"/>
                <w:szCs w:val="22"/>
              </w:rPr>
            </w:pPr>
            <w:r w:rsidRPr="00692208">
              <w:rPr>
                <w:rFonts w:ascii="Times New Roman" w:hAnsi="Times New Roman"/>
                <w:color w:val="000000"/>
                <w:szCs w:val="22"/>
              </w:rPr>
              <w:t>2018</w:t>
            </w:r>
          </w:p>
        </w:tc>
      </w:tr>
      <w:tr w:rsidR="00BA4701" w:rsidRPr="00CE57CF" w14:paraId="6AA0DB37" w14:textId="77777777" w:rsidTr="00CA6E7C">
        <w:trPr>
          <w:cantSplit/>
          <w:trHeight w:val="80"/>
          <w:jc w:val="center"/>
        </w:trPr>
        <w:tc>
          <w:tcPr>
            <w:tcW w:w="709" w:type="dxa"/>
            <w:shd w:val="clear" w:color="auto" w:fill="auto"/>
            <w:tcMar>
              <w:left w:w="0" w:type="dxa"/>
              <w:right w:w="0" w:type="dxa"/>
            </w:tcMar>
          </w:tcPr>
          <w:p w14:paraId="23975BBB" w14:textId="77777777" w:rsidR="00CA6E7C" w:rsidRDefault="00CA6E7C" w:rsidP="00D10D7D">
            <w:pPr>
              <w:tabs>
                <w:tab w:val="left" w:pos="567"/>
              </w:tabs>
              <w:spacing w:before="40"/>
              <w:ind w:left="28"/>
              <w:jc w:val="center"/>
              <w:rPr>
                <w:rFonts w:ascii="Times New Roman" w:hAnsi="Times New Roman"/>
                <w:color w:val="000000"/>
                <w:szCs w:val="22"/>
              </w:rPr>
            </w:pPr>
            <w:r>
              <w:rPr>
                <w:rFonts w:ascii="Times New Roman" w:hAnsi="Times New Roman"/>
                <w:color w:val="000000"/>
                <w:szCs w:val="22"/>
              </w:rPr>
              <w:t>28</w:t>
            </w:r>
          </w:p>
        </w:tc>
        <w:tc>
          <w:tcPr>
            <w:tcW w:w="2835" w:type="dxa"/>
          </w:tcPr>
          <w:p w14:paraId="00A6D500" w14:textId="77777777" w:rsidR="00CA6E7C" w:rsidRPr="00CE57CF" w:rsidRDefault="004C7273" w:rsidP="00D10D7D">
            <w:pPr>
              <w:tabs>
                <w:tab w:val="left" w:pos="567"/>
              </w:tabs>
              <w:spacing w:before="40"/>
              <w:rPr>
                <w:rFonts w:ascii="Times New Roman" w:hAnsi="Times New Roman"/>
                <w:color w:val="000000"/>
                <w:szCs w:val="22"/>
              </w:rPr>
            </w:pPr>
            <w:r w:rsidRPr="004C7273">
              <w:rPr>
                <w:rFonts w:ascii="Times New Roman" w:hAnsi="Times New Roman"/>
                <w:color w:val="000000"/>
                <w:szCs w:val="22"/>
              </w:rPr>
              <w:t>Michael James Scott, Steve Counsell, Stanislao Lauria, Stephen Swift, Al</w:t>
            </w:r>
            <w:r>
              <w:rPr>
                <w:rFonts w:ascii="Times New Roman" w:hAnsi="Times New Roman"/>
                <w:color w:val="000000"/>
                <w:szCs w:val="22"/>
              </w:rPr>
              <w:t xml:space="preserve">lan Tucker, Martin Shepperd, czn </w:t>
            </w:r>
            <w:r w:rsidRPr="004C7273">
              <w:rPr>
                <w:rFonts w:ascii="Times New Roman" w:hAnsi="Times New Roman"/>
                <w:color w:val="000000"/>
                <w:szCs w:val="22"/>
              </w:rPr>
              <w:t>Gheorghita Ghinea</w:t>
            </w:r>
            <w:r w:rsidR="00BA4701">
              <w:rPr>
                <w:rFonts w:ascii="Times New Roman" w:hAnsi="Times New Roman"/>
                <w:color w:val="000000"/>
                <w:szCs w:val="22"/>
              </w:rPr>
              <w:t xml:space="preserve"> </w:t>
            </w:r>
            <w:r w:rsidR="00BA4701">
              <w:rPr>
                <w:rFonts w:ascii="Times New Roman" w:hAnsi="Times New Roman"/>
                <w:color w:val="000000"/>
                <w:szCs w:val="22"/>
              </w:rPr>
              <w:fldChar w:fldCharType="begin" w:fldLock="1"/>
            </w:r>
            <w:r w:rsidR="00BA4701">
              <w:rPr>
                <w:rFonts w:ascii="Times New Roman" w:hAnsi="Times New Roman"/>
                <w:color w:val="000000"/>
                <w:szCs w:val="22"/>
              </w:rPr>
              <w:instrText>ADDIN CSL_CITATION {"citationItems":[{"id":"ITEM-1","itemData":{"DOI":"10.1109/TE.2014.2382567","ISSN":"00189359","abstract":"Computer programming is notoriously difficult to learn. To this end, regular practice in the form of application and reflection is an important enabler of student learning. However, educators often find that first-year B.Sc. students do not readily engage in such activities. Providing each student with a programmable robot, however, could be used to facilitate application and reflection since, potentially, robots facilitate engaging learning experiences while providing immediate and intuitive feedback. This paper explores whether an introductory course centered upon programming personal robots in preparation for an end-of-course event day-a Robot Olympics-can help students to, first, engage in programming practice more frequently and, second, improve the quality of their code. A survey was conducted to examine the students' programming practice behavior, and students' final coursework submissions were also reviewed for aspects of program quality. The findings from this cohort were compared to a reference group from a previous cohort that shared similar learning objectives and entry requirements, but had focused on Web programming instead of using robots. The results reveal statistically significant increases in programming practice compared to the reference group. Furthermore, being enrolled in the course that culminated in the Robot Olympics was a significant predictor of two aspects of program quality: functional coherence and sophistication. This suggests that robot-centered courses can promote engagement with, and enhance some aspects of, programming practice.","author":[{"dropping-particle":"","family":"Scott","given":"Michael James","non-dropping-particle":"","parse-names":false,"suffix":""},{"dropping-particle":"","family":"Counsell","given":"Steve","non-dropping-particle":"","parse-names":false,"suffix":""},{"dropping-particle":"","family":"Lauria","given":"Stanislao","non-dropping-particle":"","parse-names":false,"suffix":""},{"dropping-particle":"","family":"Swift","given":"Stephen","non-dropping-particle":"","parse-names":false,"suffix":""},{"dropping-particle":"","family":"Tucker","given":"Allan","non-dropping-particle":"","parse-names":false,"suffix":""},{"dropping-particle":"","family":"Shepperd","given":"Martin","non-dropping-particle":"","parse-names":false,"suffix":""},{"dropping-particle":"","family":"Ghinea","given":"Gheorghita","non-dropping-particle":"","parse-names":false,"suffix":""}],"container-title":"IEEE Transactions on Education","id":"ITEM-1","issue":"4","issued":{"date-parts":[["2015"]]},"page":"249-254","title":"Enhancing Practice and Achievement in Introductory Programming with a Robot Olympics","type":"article-journal","volume":"58"},"uris":["http://www.mendeley.com/documents/?uuid=cd893c2d-c41e-40aa-b30e-a2108e447bec"]}],"mendeley":{"formattedCitation":"[35]","plainTextFormattedCitation":"[35]","previouslyFormattedCitation":"[35]"},"properties":{"noteIndex":0},"schema":"https://github.com/citation-style-language/schema/raw/master/csl-citation.json"}</w:instrText>
            </w:r>
            <w:r w:rsidR="00BA4701">
              <w:rPr>
                <w:rFonts w:ascii="Times New Roman" w:hAnsi="Times New Roman"/>
                <w:color w:val="000000"/>
                <w:szCs w:val="22"/>
              </w:rPr>
              <w:fldChar w:fldCharType="separate"/>
            </w:r>
            <w:r w:rsidR="00BA4701" w:rsidRPr="00BA4701">
              <w:rPr>
                <w:rFonts w:ascii="Times New Roman" w:hAnsi="Times New Roman"/>
                <w:noProof/>
                <w:color w:val="000000"/>
                <w:szCs w:val="22"/>
              </w:rPr>
              <w:t>[35]</w:t>
            </w:r>
            <w:r w:rsidR="00BA4701">
              <w:rPr>
                <w:rFonts w:ascii="Times New Roman" w:hAnsi="Times New Roman"/>
                <w:color w:val="000000"/>
                <w:szCs w:val="22"/>
              </w:rPr>
              <w:fldChar w:fldCharType="end"/>
            </w:r>
          </w:p>
        </w:tc>
        <w:tc>
          <w:tcPr>
            <w:tcW w:w="3827" w:type="dxa"/>
            <w:shd w:val="clear" w:color="auto" w:fill="auto"/>
            <w:tcMar>
              <w:left w:w="0" w:type="dxa"/>
              <w:right w:w="0" w:type="dxa"/>
            </w:tcMar>
          </w:tcPr>
          <w:p w14:paraId="1B462018" w14:textId="77777777" w:rsidR="00CA6E7C" w:rsidRPr="00CE57CF" w:rsidRDefault="004C7273" w:rsidP="00D10D7D">
            <w:pPr>
              <w:tabs>
                <w:tab w:val="left" w:pos="567"/>
              </w:tabs>
              <w:spacing w:before="40"/>
              <w:ind w:left="284"/>
              <w:rPr>
                <w:rFonts w:ascii="Times New Roman" w:hAnsi="Times New Roman"/>
                <w:color w:val="000000"/>
                <w:szCs w:val="22"/>
              </w:rPr>
            </w:pPr>
            <w:r w:rsidRPr="004C7273">
              <w:rPr>
                <w:rFonts w:ascii="Times New Roman" w:hAnsi="Times New Roman"/>
                <w:color w:val="000000"/>
                <w:szCs w:val="22"/>
              </w:rPr>
              <w:t>Enhancing Practice and Achievement in Introductory</w:t>
            </w:r>
            <w:r>
              <w:rPr>
                <w:rFonts w:ascii="Times New Roman" w:hAnsi="Times New Roman"/>
                <w:color w:val="000000"/>
                <w:szCs w:val="22"/>
              </w:rPr>
              <w:t xml:space="preserve"> </w:t>
            </w:r>
            <w:r w:rsidRPr="004C7273">
              <w:rPr>
                <w:rFonts w:ascii="Times New Roman" w:hAnsi="Times New Roman"/>
                <w:color w:val="000000"/>
                <w:szCs w:val="22"/>
              </w:rPr>
              <w:t>Programming With a Robot Olympics</w:t>
            </w:r>
          </w:p>
        </w:tc>
        <w:tc>
          <w:tcPr>
            <w:tcW w:w="1560" w:type="dxa"/>
          </w:tcPr>
          <w:p w14:paraId="6C49E9F2" w14:textId="77777777" w:rsidR="00CA6E7C" w:rsidRPr="00692208" w:rsidRDefault="004C7273" w:rsidP="001C01BB">
            <w:pPr>
              <w:tabs>
                <w:tab w:val="left" w:pos="567"/>
              </w:tabs>
              <w:spacing w:before="40"/>
              <w:ind w:firstLine="284"/>
              <w:jc w:val="center"/>
              <w:rPr>
                <w:rFonts w:ascii="Times New Roman" w:hAnsi="Times New Roman"/>
                <w:color w:val="000000"/>
                <w:szCs w:val="22"/>
              </w:rPr>
            </w:pPr>
            <w:r w:rsidRPr="00692208">
              <w:rPr>
                <w:rFonts w:ascii="Times New Roman" w:hAnsi="Times New Roman"/>
                <w:color w:val="000000"/>
                <w:szCs w:val="22"/>
              </w:rPr>
              <w:t>2015</w:t>
            </w:r>
          </w:p>
        </w:tc>
      </w:tr>
      <w:tr w:rsidR="00BA4701" w:rsidRPr="00CE57CF" w14:paraId="5D239E30" w14:textId="77777777" w:rsidTr="00CA6E7C">
        <w:trPr>
          <w:cantSplit/>
          <w:trHeight w:val="80"/>
          <w:jc w:val="center"/>
        </w:trPr>
        <w:tc>
          <w:tcPr>
            <w:tcW w:w="709" w:type="dxa"/>
            <w:shd w:val="clear" w:color="auto" w:fill="auto"/>
            <w:tcMar>
              <w:left w:w="0" w:type="dxa"/>
              <w:right w:w="0" w:type="dxa"/>
            </w:tcMar>
          </w:tcPr>
          <w:p w14:paraId="3806BD99" w14:textId="77777777" w:rsidR="00CA6E7C" w:rsidRDefault="00CA6E7C" w:rsidP="00D10D7D">
            <w:pPr>
              <w:tabs>
                <w:tab w:val="left" w:pos="567"/>
              </w:tabs>
              <w:spacing w:before="40"/>
              <w:ind w:left="28"/>
              <w:jc w:val="center"/>
              <w:rPr>
                <w:rFonts w:ascii="Times New Roman" w:hAnsi="Times New Roman"/>
                <w:color w:val="000000"/>
                <w:szCs w:val="22"/>
              </w:rPr>
            </w:pPr>
            <w:r>
              <w:rPr>
                <w:rFonts w:ascii="Times New Roman" w:hAnsi="Times New Roman"/>
                <w:color w:val="000000"/>
                <w:szCs w:val="22"/>
              </w:rPr>
              <w:t>29</w:t>
            </w:r>
          </w:p>
        </w:tc>
        <w:tc>
          <w:tcPr>
            <w:tcW w:w="2835" w:type="dxa"/>
          </w:tcPr>
          <w:p w14:paraId="75A470A5" w14:textId="77777777" w:rsidR="00CA6E7C" w:rsidRPr="00CE57CF" w:rsidRDefault="007A7E29" w:rsidP="00D10D7D">
            <w:pPr>
              <w:tabs>
                <w:tab w:val="left" w:pos="567"/>
              </w:tabs>
              <w:spacing w:before="40"/>
              <w:rPr>
                <w:rFonts w:ascii="Times New Roman" w:hAnsi="Times New Roman"/>
                <w:color w:val="000000"/>
                <w:szCs w:val="22"/>
              </w:rPr>
            </w:pPr>
            <w:r w:rsidRPr="007A7E29">
              <w:rPr>
                <w:rFonts w:ascii="Times New Roman" w:hAnsi="Times New Roman"/>
                <w:color w:val="000000"/>
                <w:szCs w:val="22"/>
              </w:rPr>
              <w:t xml:space="preserve">Raheela Asif, Agathe </w:t>
            </w:r>
            <w:r>
              <w:rPr>
                <w:rFonts w:ascii="Times New Roman" w:hAnsi="Times New Roman"/>
                <w:color w:val="000000"/>
                <w:szCs w:val="22"/>
              </w:rPr>
              <w:t>M</w:t>
            </w:r>
            <w:r w:rsidRPr="007A7E29">
              <w:rPr>
                <w:rFonts w:ascii="Times New Roman" w:hAnsi="Times New Roman"/>
                <w:color w:val="000000"/>
                <w:szCs w:val="22"/>
              </w:rPr>
              <w:t xml:space="preserve">erceron, Syed Abbas Ali, </w:t>
            </w:r>
            <w:r>
              <w:rPr>
                <w:rFonts w:ascii="Times New Roman" w:hAnsi="Times New Roman"/>
                <w:color w:val="000000"/>
                <w:szCs w:val="22"/>
              </w:rPr>
              <w:t xml:space="preserve">Dan </w:t>
            </w:r>
            <w:r w:rsidRPr="007A7E29">
              <w:rPr>
                <w:rFonts w:ascii="Times New Roman" w:hAnsi="Times New Roman"/>
                <w:color w:val="000000"/>
                <w:szCs w:val="22"/>
              </w:rPr>
              <w:t>Najmi Ghani Haider</w:t>
            </w:r>
            <w:r w:rsidR="00BA4701">
              <w:rPr>
                <w:rFonts w:ascii="Times New Roman" w:hAnsi="Times New Roman"/>
                <w:color w:val="000000"/>
                <w:szCs w:val="22"/>
              </w:rPr>
              <w:t xml:space="preserve"> </w:t>
            </w:r>
            <w:r w:rsidR="00BA4701">
              <w:rPr>
                <w:rFonts w:ascii="Times New Roman" w:hAnsi="Times New Roman"/>
                <w:color w:val="000000"/>
                <w:szCs w:val="22"/>
              </w:rPr>
              <w:fldChar w:fldCharType="begin" w:fldLock="1"/>
            </w:r>
            <w:r w:rsidR="00BA4701">
              <w:rPr>
                <w:rFonts w:ascii="Times New Roman" w:hAnsi="Times New Roman"/>
                <w:color w:val="000000"/>
                <w:szCs w:val="22"/>
              </w:rPr>
              <w:instrText>ADDIN CSL_CITATION {"citationItems":[{"id":"ITEM-1","itemData":{"DOI":"10.1016/j.compedu.2017.05.007","ISSN":"03601315","abstract":"The tremendous growth in electronic data of universities creates the need to have some meaningful information extracted from these large volumes of data. The advancement in the data mining field makes it possible to mine educational data in order to improve the quality of the educational processes. This study, thus, uses data mining methods to study the performance of undergraduate students. Two aspects of students' performance have been focused upon. First, predicting students' academic achievement at the end of a four-year study programme. Second, studying typical progressions and combining them with prediction results. Two important groups of students have been identified: the low and high achieving students. The results indicate that by focusing on a small number of courses that are indicators of particularly good or poor performance, it is possible to provide timely warning and support to low achieving students, and advice and opportunities to high performing students.","author":[{"dropping-particle":"","family":"Asif","given":"Raheela","non-dropping-particle":"","parse-names":false,"suffix":""},{"dropping-particle":"","family":"Merceron","given":"Agathe","non-dropping-particle":"","parse-names":false,"suffix":""},{"dropping-particle":"","family":"Ali","given":"Syed Abbas","non-dropping-particle":"","parse-names":false,"suffix":""},{"dropping-particle":"","family":"Haider","given":"Najmi Ghani","non-dropping-particle":"","parse-names":false,"suffix":""}],"container-title":"Computers and Education","id":"ITEM-1","issued":{"date-parts":[["2017"]]},"page":"177-194","publisher":"Elsevier Ltd","title":"Analyzing undergraduate students' performance using educational data mining","type":"article-journal","volume":"113"},"uris":["http://www.mendeley.com/documents/?uuid=b9c497db-d4ff-4b43-8d25-f7464339ccda"]}],"mendeley":{"formattedCitation":"[36]","plainTextFormattedCitation":"[36]","previouslyFormattedCitation":"[36]"},"properties":{"noteIndex":0},"schema":"https://github.com/citation-style-language/schema/raw/master/csl-citation.json"}</w:instrText>
            </w:r>
            <w:r w:rsidR="00BA4701">
              <w:rPr>
                <w:rFonts w:ascii="Times New Roman" w:hAnsi="Times New Roman"/>
                <w:color w:val="000000"/>
                <w:szCs w:val="22"/>
              </w:rPr>
              <w:fldChar w:fldCharType="separate"/>
            </w:r>
            <w:r w:rsidR="00BA4701" w:rsidRPr="00BA4701">
              <w:rPr>
                <w:rFonts w:ascii="Times New Roman" w:hAnsi="Times New Roman"/>
                <w:noProof/>
                <w:color w:val="000000"/>
                <w:szCs w:val="22"/>
              </w:rPr>
              <w:t>[36]</w:t>
            </w:r>
            <w:r w:rsidR="00BA4701">
              <w:rPr>
                <w:rFonts w:ascii="Times New Roman" w:hAnsi="Times New Roman"/>
                <w:color w:val="000000"/>
                <w:szCs w:val="22"/>
              </w:rPr>
              <w:fldChar w:fldCharType="end"/>
            </w:r>
          </w:p>
        </w:tc>
        <w:tc>
          <w:tcPr>
            <w:tcW w:w="3827" w:type="dxa"/>
            <w:shd w:val="clear" w:color="auto" w:fill="auto"/>
            <w:tcMar>
              <w:left w:w="0" w:type="dxa"/>
              <w:right w:w="0" w:type="dxa"/>
            </w:tcMar>
          </w:tcPr>
          <w:p w14:paraId="40825085" w14:textId="77777777" w:rsidR="00CA6E7C" w:rsidRPr="00CE57CF" w:rsidRDefault="007A7E29" w:rsidP="00D10D7D">
            <w:pPr>
              <w:tabs>
                <w:tab w:val="left" w:pos="567"/>
              </w:tabs>
              <w:spacing w:before="40"/>
              <w:ind w:left="284"/>
              <w:rPr>
                <w:rFonts w:ascii="Times New Roman" w:hAnsi="Times New Roman"/>
                <w:color w:val="000000"/>
                <w:szCs w:val="22"/>
              </w:rPr>
            </w:pPr>
            <w:r w:rsidRPr="007A7E29">
              <w:rPr>
                <w:rFonts w:ascii="Times New Roman" w:hAnsi="Times New Roman"/>
                <w:color w:val="000000"/>
                <w:szCs w:val="22"/>
              </w:rPr>
              <w:t xml:space="preserve">Analyzing undergraduate students’ </w:t>
            </w:r>
            <w:r>
              <w:rPr>
                <w:rFonts w:ascii="Times New Roman" w:hAnsi="Times New Roman"/>
                <w:color w:val="000000"/>
                <w:szCs w:val="22"/>
              </w:rPr>
              <w:t xml:space="preserve"> p</w:t>
            </w:r>
            <w:r w:rsidRPr="007A7E29">
              <w:rPr>
                <w:rFonts w:ascii="Times New Roman" w:hAnsi="Times New Roman"/>
                <w:color w:val="000000"/>
                <w:szCs w:val="22"/>
              </w:rPr>
              <w:t>erformance</w:t>
            </w:r>
            <w:r>
              <w:rPr>
                <w:rFonts w:ascii="Times New Roman" w:hAnsi="Times New Roman"/>
                <w:color w:val="000000"/>
                <w:szCs w:val="22"/>
              </w:rPr>
              <w:t xml:space="preserve"> </w:t>
            </w:r>
            <w:r w:rsidRPr="007A7E29">
              <w:rPr>
                <w:rFonts w:ascii="Times New Roman" w:hAnsi="Times New Roman"/>
                <w:color w:val="000000"/>
                <w:szCs w:val="22"/>
              </w:rPr>
              <w:t>Using educational data mining</w:t>
            </w:r>
          </w:p>
        </w:tc>
        <w:tc>
          <w:tcPr>
            <w:tcW w:w="1560" w:type="dxa"/>
          </w:tcPr>
          <w:p w14:paraId="6257CB6A" w14:textId="77777777" w:rsidR="00CA6E7C" w:rsidRPr="00692208" w:rsidRDefault="007A7E29" w:rsidP="001C01BB">
            <w:pPr>
              <w:tabs>
                <w:tab w:val="left" w:pos="567"/>
              </w:tabs>
              <w:spacing w:before="40"/>
              <w:ind w:firstLine="284"/>
              <w:jc w:val="center"/>
              <w:rPr>
                <w:rFonts w:ascii="Times New Roman" w:hAnsi="Times New Roman"/>
                <w:color w:val="000000"/>
                <w:szCs w:val="22"/>
              </w:rPr>
            </w:pPr>
            <w:r w:rsidRPr="00692208">
              <w:rPr>
                <w:rFonts w:ascii="Times New Roman" w:hAnsi="Times New Roman"/>
                <w:color w:val="000000"/>
                <w:szCs w:val="22"/>
              </w:rPr>
              <w:t>2017</w:t>
            </w:r>
          </w:p>
        </w:tc>
      </w:tr>
      <w:tr w:rsidR="00BA4701" w:rsidRPr="00CE57CF" w14:paraId="170809E6" w14:textId="77777777" w:rsidTr="00A96477">
        <w:trPr>
          <w:cantSplit/>
          <w:trHeight w:val="80"/>
          <w:jc w:val="center"/>
        </w:trPr>
        <w:tc>
          <w:tcPr>
            <w:tcW w:w="709" w:type="dxa"/>
            <w:tcBorders>
              <w:bottom w:val="single" w:sz="4" w:space="0" w:color="auto"/>
            </w:tcBorders>
            <w:shd w:val="clear" w:color="auto" w:fill="auto"/>
            <w:tcMar>
              <w:left w:w="0" w:type="dxa"/>
              <w:right w:w="0" w:type="dxa"/>
            </w:tcMar>
          </w:tcPr>
          <w:p w14:paraId="3A787ADE" w14:textId="77777777" w:rsidR="00CA6E7C" w:rsidRDefault="00CA6E7C" w:rsidP="00D10D7D">
            <w:pPr>
              <w:tabs>
                <w:tab w:val="left" w:pos="567"/>
              </w:tabs>
              <w:spacing w:before="40"/>
              <w:ind w:left="28"/>
              <w:jc w:val="center"/>
              <w:rPr>
                <w:rFonts w:ascii="Times New Roman" w:hAnsi="Times New Roman"/>
                <w:color w:val="000000"/>
                <w:szCs w:val="22"/>
              </w:rPr>
            </w:pPr>
            <w:r>
              <w:rPr>
                <w:rFonts w:ascii="Times New Roman" w:hAnsi="Times New Roman"/>
                <w:color w:val="000000"/>
                <w:szCs w:val="22"/>
              </w:rPr>
              <w:t>30</w:t>
            </w:r>
          </w:p>
        </w:tc>
        <w:tc>
          <w:tcPr>
            <w:tcW w:w="2835" w:type="dxa"/>
            <w:tcBorders>
              <w:bottom w:val="single" w:sz="4" w:space="0" w:color="auto"/>
            </w:tcBorders>
          </w:tcPr>
          <w:p w14:paraId="3B0E71E9" w14:textId="77777777" w:rsidR="00CA6E7C" w:rsidRPr="00CE57CF" w:rsidRDefault="007A7E29" w:rsidP="00D10D7D">
            <w:pPr>
              <w:tabs>
                <w:tab w:val="left" w:pos="567"/>
              </w:tabs>
              <w:spacing w:before="40"/>
              <w:rPr>
                <w:rFonts w:ascii="Times New Roman" w:hAnsi="Times New Roman"/>
                <w:color w:val="000000"/>
                <w:szCs w:val="22"/>
              </w:rPr>
            </w:pPr>
            <w:r>
              <w:rPr>
                <w:rFonts w:ascii="Times New Roman" w:hAnsi="Times New Roman"/>
                <w:color w:val="000000"/>
                <w:szCs w:val="22"/>
              </w:rPr>
              <w:t>Cameron C. Gray, dan</w:t>
            </w:r>
            <w:r w:rsidRPr="007A7E29">
              <w:rPr>
                <w:rFonts w:ascii="Times New Roman" w:hAnsi="Times New Roman"/>
                <w:color w:val="000000"/>
                <w:szCs w:val="22"/>
              </w:rPr>
              <w:t xml:space="preserve"> Dave Perkins</w:t>
            </w:r>
            <w:r w:rsidR="00BA4701">
              <w:rPr>
                <w:rFonts w:ascii="Times New Roman" w:hAnsi="Times New Roman"/>
                <w:color w:val="000000"/>
                <w:szCs w:val="22"/>
              </w:rPr>
              <w:t xml:space="preserve"> </w:t>
            </w:r>
            <w:r w:rsidR="00BA4701">
              <w:rPr>
                <w:rFonts w:ascii="Times New Roman" w:hAnsi="Times New Roman"/>
                <w:color w:val="000000"/>
                <w:szCs w:val="22"/>
              </w:rPr>
              <w:fldChar w:fldCharType="begin" w:fldLock="1"/>
            </w:r>
            <w:r w:rsidR="0074217D">
              <w:rPr>
                <w:rFonts w:ascii="Times New Roman" w:hAnsi="Times New Roman"/>
                <w:color w:val="000000"/>
                <w:szCs w:val="22"/>
              </w:rPr>
              <w:instrText>ADDIN CSL_CITATION {"citationItems":[{"id":"ITEM-1","itemData":{"DOI":"10.1016/j.compedu.2018.12.006","ISSN":"03601315","abstract":"Finding a solution to the problem of student retention is an often-required task across Higher Education. Most often managers and academics alike rely on intuition and experience to identify the potential risk students and factors. This paper examines the literature surrounding current methods and measures in use in Learning Analytics. We find that while tools are available, they do not focus on earliest possible identification of struggling students. Our work defines a new descriptive statistic for student attendance and applies modern machine learning tools and techniques to create a predictive model. We demonstrate how students can be identified as early as week 3 (of the Fall semester) with approximately 97% accuracy. We, furthermore, situate this result within an appropriate pedagogical context to support its use as part of a more comprehensive student support mechanism.","author":[{"dropping-particle":"","family":"Gray","given":"Cameron C.","non-dropping-particle":"","parse-names":false,"suffix":""},{"dropping-particle":"","family":"Perkins","given":"Dave","non-dropping-particle":"","parse-names":false,"suffix":""}],"container-title":"Computers and Education","id":"ITEM-1","issue":"December 2018","issued":{"date-parts":[["2019"]]},"page":"22-32","publisher":"Elsevier","title":"Utilizing early engagement and machine learning to predict student outcomes","type":"article-journal","volume":"131"},"uris":["http://www.mendeley.com/documents/?uuid=5ec84334-1354-4fae-be7b-4700cc368159"]}],"mendeley":{"formattedCitation":"[37]","plainTextFormattedCitation":"[37]","previouslyFormattedCitation":"[37]"},"properties":{"noteIndex":0},"schema":"https://github.com/citation-style-language/schema/raw/master/csl-citation.json"}</w:instrText>
            </w:r>
            <w:r w:rsidR="00BA4701">
              <w:rPr>
                <w:rFonts w:ascii="Times New Roman" w:hAnsi="Times New Roman"/>
                <w:color w:val="000000"/>
                <w:szCs w:val="22"/>
              </w:rPr>
              <w:fldChar w:fldCharType="separate"/>
            </w:r>
            <w:r w:rsidR="00BA4701" w:rsidRPr="00BA4701">
              <w:rPr>
                <w:rFonts w:ascii="Times New Roman" w:hAnsi="Times New Roman"/>
                <w:noProof/>
                <w:color w:val="000000"/>
                <w:szCs w:val="22"/>
              </w:rPr>
              <w:t>[37]</w:t>
            </w:r>
            <w:r w:rsidR="00BA4701">
              <w:rPr>
                <w:rFonts w:ascii="Times New Roman" w:hAnsi="Times New Roman"/>
                <w:color w:val="000000"/>
                <w:szCs w:val="22"/>
              </w:rPr>
              <w:fldChar w:fldCharType="end"/>
            </w:r>
          </w:p>
        </w:tc>
        <w:tc>
          <w:tcPr>
            <w:tcW w:w="3827" w:type="dxa"/>
            <w:tcBorders>
              <w:bottom w:val="single" w:sz="4" w:space="0" w:color="auto"/>
            </w:tcBorders>
            <w:shd w:val="clear" w:color="auto" w:fill="auto"/>
            <w:tcMar>
              <w:left w:w="0" w:type="dxa"/>
              <w:right w:w="0" w:type="dxa"/>
            </w:tcMar>
          </w:tcPr>
          <w:p w14:paraId="3434DAA0" w14:textId="77777777" w:rsidR="00CA6E7C" w:rsidRPr="00CE57CF" w:rsidRDefault="007A7E29" w:rsidP="00D10D7D">
            <w:pPr>
              <w:tabs>
                <w:tab w:val="left" w:pos="567"/>
              </w:tabs>
              <w:spacing w:before="40"/>
              <w:ind w:left="284"/>
              <w:rPr>
                <w:rFonts w:ascii="Times New Roman" w:hAnsi="Times New Roman"/>
                <w:color w:val="000000"/>
                <w:szCs w:val="22"/>
              </w:rPr>
            </w:pPr>
            <w:r w:rsidRPr="007A7E29">
              <w:rPr>
                <w:rFonts w:ascii="Times New Roman" w:hAnsi="Times New Roman"/>
                <w:color w:val="000000"/>
                <w:szCs w:val="22"/>
              </w:rPr>
              <w:t>Utilizing early engagement and machine learning to predict student outcomes</w:t>
            </w:r>
          </w:p>
        </w:tc>
        <w:tc>
          <w:tcPr>
            <w:tcW w:w="1560" w:type="dxa"/>
            <w:tcBorders>
              <w:bottom w:val="single" w:sz="4" w:space="0" w:color="auto"/>
            </w:tcBorders>
          </w:tcPr>
          <w:p w14:paraId="6AB403F0" w14:textId="77777777" w:rsidR="00CA6E7C" w:rsidRPr="00692208" w:rsidRDefault="007A7E29" w:rsidP="001C01BB">
            <w:pPr>
              <w:tabs>
                <w:tab w:val="left" w:pos="567"/>
              </w:tabs>
              <w:spacing w:before="40"/>
              <w:ind w:firstLine="284"/>
              <w:jc w:val="center"/>
              <w:rPr>
                <w:rFonts w:ascii="Times New Roman" w:hAnsi="Times New Roman"/>
                <w:color w:val="000000"/>
                <w:szCs w:val="22"/>
              </w:rPr>
            </w:pPr>
            <w:r w:rsidRPr="00692208">
              <w:rPr>
                <w:rFonts w:ascii="Times New Roman" w:hAnsi="Times New Roman"/>
                <w:color w:val="000000"/>
                <w:szCs w:val="22"/>
              </w:rPr>
              <w:t>2019</w:t>
            </w:r>
          </w:p>
        </w:tc>
      </w:tr>
    </w:tbl>
    <w:p w14:paraId="2A706BC3" w14:textId="77777777" w:rsidR="0046322E" w:rsidRDefault="0046322E" w:rsidP="00653F80">
      <w:pPr>
        <w:pStyle w:val="BodytextIndented"/>
        <w:tabs>
          <w:tab w:val="left" w:pos="2847"/>
        </w:tabs>
        <w:rPr>
          <w:lang w:val="en-GB"/>
        </w:rPr>
      </w:pPr>
    </w:p>
    <w:p w14:paraId="35E2DBF3" w14:textId="77777777" w:rsidR="00653F80" w:rsidRPr="00243268" w:rsidRDefault="00793DB1" w:rsidP="00653F80">
      <w:pPr>
        <w:pStyle w:val="BodytextIndented"/>
        <w:tabs>
          <w:tab w:val="left" w:pos="2847"/>
        </w:tabs>
        <w:rPr>
          <w:color w:val="FF0000"/>
          <w:lang w:val="en-GB"/>
        </w:rPr>
      </w:pPr>
      <w:r>
        <w:rPr>
          <w:lang w:val="en-GB"/>
        </w:rPr>
        <w:t xml:space="preserve">Penulis merangkum </w:t>
      </w:r>
      <w:r w:rsidR="007E1BB7">
        <w:rPr>
          <w:lang w:val="en-GB"/>
        </w:rPr>
        <w:t xml:space="preserve">dan menganalisa </w:t>
      </w:r>
      <w:r>
        <w:rPr>
          <w:lang w:val="en-GB"/>
        </w:rPr>
        <w:t>seti</w:t>
      </w:r>
      <w:r w:rsidR="001E2AF5">
        <w:rPr>
          <w:lang w:val="en-GB"/>
        </w:rPr>
        <w:t xml:space="preserve">ap artikel yang </w:t>
      </w:r>
      <w:r w:rsidR="0054027B">
        <w:rPr>
          <w:lang w:val="en-GB"/>
        </w:rPr>
        <w:t>dip</w:t>
      </w:r>
      <w:r w:rsidR="006C14F1">
        <w:rPr>
          <w:lang w:val="en-GB"/>
        </w:rPr>
        <w:t>e</w:t>
      </w:r>
      <w:r w:rsidR="0054027B">
        <w:rPr>
          <w:lang w:val="en-GB"/>
        </w:rPr>
        <w:t>roleh</w:t>
      </w:r>
      <w:r w:rsidR="001E2AF5">
        <w:rPr>
          <w:lang w:val="en-GB"/>
        </w:rPr>
        <w:t xml:space="preserve"> berdasarkan</w:t>
      </w:r>
      <w:r w:rsidR="00243268">
        <w:rPr>
          <w:lang w:val="en-GB"/>
        </w:rPr>
        <w:t xml:space="preserve"> tahun publikasi, ukuran sampel dan konteks artikel. </w:t>
      </w:r>
      <w:r w:rsidR="001E2AF5">
        <w:rPr>
          <w:lang w:val="en-GB"/>
        </w:rPr>
        <w:t xml:space="preserve"> </w:t>
      </w:r>
      <w:r w:rsidR="001E2AF5" w:rsidRPr="00243268">
        <w:rPr>
          <w:color w:val="FF0000"/>
          <w:lang w:val="en-GB"/>
        </w:rPr>
        <w:t>metode pembelajaran mesin, dan temuan dasar.</w:t>
      </w:r>
      <w:r w:rsidR="00AF371F" w:rsidRPr="00243268">
        <w:rPr>
          <w:color w:val="FF0000"/>
          <w:lang w:val="en-GB"/>
        </w:rPr>
        <w:t xml:space="preserve"> </w:t>
      </w:r>
    </w:p>
    <w:p w14:paraId="5B1CD763" w14:textId="77777777" w:rsidR="00653F80" w:rsidRPr="00653F80" w:rsidRDefault="00653F80" w:rsidP="00653F80">
      <w:pPr>
        <w:pStyle w:val="BodytextIndented"/>
        <w:tabs>
          <w:tab w:val="left" w:pos="2847"/>
        </w:tabs>
        <w:rPr>
          <w:lang w:val="en-GB"/>
        </w:rPr>
      </w:pPr>
    </w:p>
    <w:p w14:paraId="7C7FD032" w14:textId="77777777" w:rsidR="00DC749C" w:rsidRDefault="00DC749C" w:rsidP="00A33BA2">
      <w:pPr>
        <w:pStyle w:val="BodytextIndented"/>
        <w:numPr>
          <w:ilvl w:val="1"/>
          <w:numId w:val="17"/>
        </w:numPr>
        <w:tabs>
          <w:tab w:val="left" w:pos="2847"/>
        </w:tabs>
        <w:ind w:left="426" w:hanging="426"/>
        <w:rPr>
          <w:i/>
          <w:lang w:val="en-GB"/>
        </w:rPr>
      </w:pPr>
      <w:r w:rsidRPr="00DC749C">
        <w:rPr>
          <w:i/>
          <w:lang w:val="en-GB"/>
        </w:rPr>
        <w:lastRenderedPageBreak/>
        <w:t>Berdasarkan Tahun Publikasi</w:t>
      </w:r>
    </w:p>
    <w:p w14:paraId="4E630932" w14:textId="77777777" w:rsidR="00A33BA2" w:rsidRDefault="000A54D4" w:rsidP="00003053">
      <w:pPr>
        <w:pStyle w:val="BodytextIndented"/>
        <w:tabs>
          <w:tab w:val="left" w:pos="2847"/>
        </w:tabs>
        <w:ind w:firstLine="426"/>
        <w:rPr>
          <w:lang w:val="en-GB"/>
        </w:rPr>
      </w:pPr>
      <w:r>
        <w:rPr>
          <w:lang w:val="en-GB"/>
        </w:rPr>
        <w:t>Ditinjau dari tahun 2014 sampai dengan 2019, jumlah artikel yang membahas</w:t>
      </w:r>
      <w:r w:rsidR="005E41B7">
        <w:rPr>
          <w:lang w:val="en-GB"/>
        </w:rPr>
        <w:t xml:space="preserve"> pembelajaran mesin dalam pendidikan teknik memiliki peningkatan. </w:t>
      </w:r>
      <w:r w:rsidR="000D3ED0">
        <w:rPr>
          <w:lang w:val="en-GB"/>
        </w:rPr>
        <w:t>Di</w:t>
      </w:r>
      <w:r w:rsidR="005E41B7">
        <w:rPr>
          <w:lang w:val="en-GB"/>
        </w:rPr>
        <w:t xml:space="preserve"> </w:t>
      </w:r>
      <w:r w:rsidR="00B11889">
        <w:rPr>
          <w:lang w:val="en-GB"/>
        </w:rPr>
        <w:t>tahun 2015, jumlahnya sebanyak tiga artikel, 2016 sebanyak empat</w:t>
      </w:r>
      <w:r w:rsidR="005E41B7">
        <w:rPr>
          <w:lang w:val="en-GB"/>
        </w:rPr>
        <w:t xml:space="preserve"> artikel, 2017 sebanyak </w:t>
      </w:r>
      <w:r w:rsidR="00B11889">
        <w:rPr>
          <w:lang w:val="en-GB"/>
        </w:rPr>
        <w:t>enam artikel, 2018 sebanyak delapan</w:t>
      </w:r>
      <w:r w:rsidR="005E41B7">
        <w:rPr>
          <w:lang w:val="en-GB"/>
        </w:rPr>
        <w:t xml:space="preserve"> artike</w:t>
      </w:r>
      <w:r w:rsidR="0052637E">
        <w:rPr>
          <w:lang w:val="en-GB"/>
        </w:rPr>
        <w:t xml:space="preserve">l, dan 2019 sebanyak </w:t>
      </w:r>
      <w:r w:rsidR="00083FD8">
        <w:rPr>
          <w:lang w:val="en-GB"/>
        </w:rPr>
        <w:t>sembilan</w:t>
      </w:r>
      <w:r w:rsidR="0052637E">
        <w:rPr>
          <w:lang w:val="en-GB"/>
        </w:rPr>
        <w:t xml:space="preserve"> artikel.</w:t>
      </w:r>
    </w:p>
    <w:p w14:paraId="4864A6E5" w14:textId="77777777" w:rsidR="00003053" w:rsidRDefault="00003053" w:rsidP="000E6683">
      <w:pPr>
        <w:pStyle w:val="BodytextIndented"/>
        <w:tabs>
          <w:tab w:val="left" w:pos="2847"/>
        </w:tabs>
        <w:ind w:left="426" w:firstLine="0"/>
        <w:jc w:val="center"/>
        <w:rPr>
          <w:lang w:val="en-GB"/>
        </w:rPr>
      </w:pPr>
    </w:p>
    <w:p w14:paraId="58636FF7" w14:textId="77777777" w:rsidR="00A3551D" w:rsidRDefault="00A3551D" w:rsidP="00A33BA2">
      <w:pPr>
        <w:pStyle w:val="BodytextIndented"/>
        <w:tabs>
          <w:tab w:val="left" w:pos="2847"/>
        </w:tabs>
        <w:ind w:left="426" w:firstLine="0"/>
        <w:rPr>
          <w:lang w:val="en-GB"/>
        </w:rPr>
      </w:pPr>
    </w:p>
    <w:p w14:paraId="79CB2939" w14:textId="77777777" w:rsidR="000A3453" w:rsidRDefault="000A3453" w:rsidP="000A3453">
      <w:pPr>
        <w:pStyle w:val="BodytextIndented"/>
        <w:tabs>
          <w:tab w:val="left" w:pos="2847"/>
        </w:tabs>
        <w:ind w:left="426" w:firstLine="0"/>
        <w:jc w:val="center"/>
        <w:rPr>
          <w:lang w:val="en-GB"/>
        </w:rPr>
      </w:pPr>
      <w:r>
        <w:rPr>
          <w:noProof/>
        </w:rPr>
        <w:drawing>
          <wp:inline distT="0" distB="0" distL="0" distR="0" wp14:anchorId="6A872135" wp14:editId="5D11E3AA">
            <wp:extent cx="3733800" cy="2432685"/>
            <wp:effectExtent l="0" t="0" r="0" b="571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F96F64" w14:textId="77777777" w:rsidR="000A3453" w:rsidRPr="00CE57CF" w:rsidRDefault="000A3453" w:rsidP="000A3453">
      <w:pPr>
        <w:pStyle w:val="FigureCaption"/>
        <w:spacing w:before="120"/>
        <w:rPr>
          <w:rFonts w:ascii="Times New Roman" w:hAnsi="Times New Roman"/>
        </w:rPr>
      </w:pPr>
      <w:r>
        <w:rPr>
          <w:rFonts w:ascii="Times New Roman" w:hAnsi="Times New Roman"/>
          <w:b/>
        </w:rPr>
        <w:t>Figure 1</w:t>
      </w:r>
      <w:r w:rsidRPr="00CE57CF">
        <w:rPr>
          <w:rFonts w:ascii="Times New Roman" w:hAnsi="Times New Roman"/>
          <w:b/>
        </w:rPr>
        <w:t xml:space="preserve">. </w:t>
      </w:r>
      <w:r w:rsidR="008E4E69">
        <w:rPr>
          <w:rFonts w:ascii="Times New Roman" w:hAnsi="Times New Roman"/>
        </w:rPr>
        <w:t>Article Based on Publication Year</w:t>
      </w:r>
    </w:p>
    <w:p w14:paraId="5932F038" w14:textId="77777777" w:rsidR="00672C50" w:rsidRPr="00F60BEE" w:rsidRDefault="00672C50" w:rsidP="000C5327">
      <w:pPr>
        <w:pStyle w:val="BodytextIndented"/>
        <w:tabs>
          <w:tab w:val="left" w:pos="2847"/>
        </w:tabs>
        <w:ind w:firstLine="426"/>
        <w:rPr>
          <w:lang w:val="en-GB"/>
        </w:rPr>
      </w:pPr>
    </w:p>
    <w:p w14:paraId="12368A96" w14:textId="77777777" w:rsidR="00AD25A3" w:rsidRDefault="00AD25A3" w:rsidP="00A33BA2">
      <w:pPr>
        <w:pStyle w:val="BodytextIndented"/>
        <w:numPr>
          <w:ilvl w:val="1"/>
          <w:numId w:val="17"/>
        </w:numPr>
        <w:tabs>
          <w:tab w:val="left" w:pos="2847"/>
        </w:tabs>
        <w:ind w:left="426" w:hanging="426"/>
        <w:rPr>
          <w:i/>
          <w:lang w:val="en-GB"/>
        </w:rPr>
      </w:pPr>
      <w:r>
        <w:rPr>
          <w:i/>
          <w:lang w:val="en-GB"/>
        </w:rPr>
        <w:t>Berdasarkan Ukuran Sampel</w:t>
      </w:r>
    </w:p>
    <w:p w14:paraId="516F58BC" w14:textId="77777777" w:rsidR="00A3551D" w:rsidRDefault="008A54B0" w:rsidP="00962081">
      <w:pPr>
        <w:pStyle w:val="BodytextIndented"/>
        <w:tabs>
          <w:tab w:val="left" w:pos="2847"/>
        </w:tabs>
        <w:ind w:firstLine="426"/>
        <w:rPr>
          <w:lang w:val="en-GB"/>
        </w:rPr>
      </w:pPr>
      <w:r>
        <w:rPr>
          <w:lang w:val="en-GB"/>
        </w:rPr>
        <w:t>Jumlah sampel terbesar dimiliki oleh artikel ke</w:t>
      </w:r>
      <w:r w:rsidR="00071372">
        <w:rPr>
          <w:lang w:val="en-GB"/>
        </w:rPr>
        <w:t xml:space="preserve"> </w:t>
      </w:r>
      <w:r>
        <w:rPr>
          <w:lang w:val="en-GB"/>
        </w:rPr>
        <w:t>12, yaitu 12.477 sampel. Sedangkan, untuk sample terk</w:t>
      </w:r>
      <w:r w:rsidR="00071372">
        <w:rPr>
          <w:lang w:val="en-GB"/>
        </w:rPr>
        <w:t xml:space="preserve">ecil dimiliki oleh artikel ke </w:t>
      </w:r>
      <w:r w:rsidR="00775EBA">
        <w:rPr>
          <w:lang w:val="en-GB"/>
        </w:rPr>
        <w:t>13</w:t>
      </w:r>
      <w:r>
        <w:rPr>
          <w:lang w:val="en-GB"/>
        </w:rPr>
        <w:t xml:space="preserve">, yaitu 18 sampel. </w:t>
      </w:r>
      <w:r w:rsidR="00962081">
        <w:rPr>
          <w:lang w:val="en-GB"/>
        </w:rPr>
        <w:t>Dan untuk a</w:t>
      </w:r>
      <w:r w:rsidR="00071372">
        <w:rPr>
          <w:lang w:val="en-GB"/>
        </w:rPr>
        <w:t xml:space="preserve">rtikel ke </w:t>
      </w:r>
      <w:r w:rsidR="00962081">
        <w:rPr>
          <w:lang w:val="en-GB"/>
        </w:rPr>
        <w:t xml:space="preserve">17, 19, 20, 24, 26, 27, dan 30, jumlah sampel tidak </w:t>
      </w:r>
      <w:r w:rsidR="00A85AC0">
        <w:rPr>
          <w:lang w:val="en-GB"/>
        </w:rPr>
        <w:t>dicantumkan</w:t>
      </w:r>
      <w:r w:rsidR="00962081">
        <w:rPr>
          <w:lang w:val="en-GB"/>
        </w:rPr>
        <w:t>.</w:t>
      </w:r>
    </w:p>
    <w:p w14:paraId="37ABFFA3" w14:textId="77777777" w:rsidR="002A418F" w:rsidRPr="002A418F" w:rsidRDefault="002A418F" w:rsidP="00A3551D">
      <w:pPr>
        <w:pStyle w:val="BodytextIndented"/>
        <w:tabs>
          <w:tab w:val="left" w:pos="2847"/>
        </w:tabs>
        <w:ind w:left="426" w:firstLine="0"/>
        <w:rPr>
          <w:lang w:val="en-GB"/>
        </w:rPr>
      </w:pPr>
    </w:p>
    <w:p w14:paraId="5C7AD3CC" w14:textId="77777777" w:rsidR="00AD25A3" w:rsidRDefault="000A3453" w:rsidP="000A3453">
      <w:pPr>
        <w:pStyle w:val="BodytextIndented"/>
        <w:tabs>
          <w:tab w:val="left" w:pos="2847"/>
        </w:tabs>
        <w:ind w:left="426" w:firstLine="0"/>
        <w:jc w:val="center"/>
        <w:rPr>
          <w:lang w:val="en-GB"/>
        </w:rPr>
      </w:pPr>
      <w:r>
        <w:rPr>
          <w:noProof/>
        </w:rPr>
        <w:drawing>
          <wp:inline distT="0" distB="0" distL="0" distR="0" wp14:anchorId="1257E2CD" wp14:editId="50A4977B">
            <wp:extent cx="4943475" cy="241935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1C332A" w14:textId="77777777" w:rsidR="002A418F" w:rsidRPr="00E33993" w:rsidRDefault="000A3453" w:rsidP="00E33993">
      <w:pPr>
        <w:pStyle w:val="FigureCaption"/>
        <w:spacing w:before="120"/>
        <w:rPr>
          <w:rFonts w:ascii="Times New Roman" w:hAnsi="Times New Roman"/>
        </w:rPr>
      </w:pPr>
      <w:r>
        <w:rPr>
          <w:rFonts w:ascii="Times New Roman" w:hAnsi="Times New Roman"/>
          <w:b/>
        </w:rPr>
        <w:t>Figure 2</w:t>
      </w:r>
      <w:r w:rsidRPr="00CE57CF">
        <w:rPr>
          <w:rFonts w:ascii="Times New Roman" w:hAnsi="Times New Roman"/>
          <w:b/>
        </w:rPr>
        <w:t xml:space="preserve">. </w:t>
      </w:r>
      <w:r w:rsidR="008E4E69">
        <w:rPr>
          <w:rFonts w:ascii="Times New Roman" w:hAnsi="Times New Roman"/>
        </w:rPr>
        <w:t xml:space="preserve">Article Based on </w:t>
      </w:r>
      <w:r w:rsidR="00672C50">
        <w:rPr>
          <w:rFonts w:ascii="Times New Roman" w:hAnsi="Times New Roman"/>
        </w:rPr>
        <w:t xml:space="preserve">Total of </w:t>
      </w:r>
      <w:r w:rsidR="00F117A3">
        <w:rPr>
          <w:rFonts w:ascii="Times New Roman" w:hAnsi="Times New Roman"/>
        </w:rPr>
        <w:t>Samp</w:t>
      </w:r>
      <w:r w:rsidR="008A54B0">
        <w:rPr>
          <w:rFonts w:ascii="Times New Roman" w:hAnsi="Times New Roman"/>
        </w:rPr>
        <w:t>l</w:t>
      </w:r>
      <w:r w:rsidR="00F117A3">
        <w:rPr>
          <w:rFonts w:ascii="Times New Roman" w:hAnsi="Times New Roman"/>
        </w:rPr>
        <w:t>e</w:t>
      </w:r>
      <w:r w:rsidR="00672C50">
        <w:rPr>
          <w:rFonts w:ascii="Times New Roman" w:hAnsi="Times New Roman"/>
        </w:rPr>
        <w:t xml:space="preserve"> Size</w:t>
      </w:r>
    </w:p>
    <w:p w14:paraId="27E3CE57" w14:textId="77777777" w:rsidR="002A418F" w:rsidRDefault="002A418F" w:rsidP="00AD25A3">
      <w:pPr>
        <w:pStyle w:val="BodytextIndented"/>
        <w:tabs>
          <w:tab w:val="left" w:pos="2847"/>
        </w:tabs>
        <w:ind w:left="426" w:firstLine="0"/>
        <w:rPr>
          <w:lang w:val="en-GB"/>
        </w:rPr>
      </w:pPr>
    </w:p>
    <w:p w14:paraId="696FB1A6" w14:textId="77777777" w:rsidR="00DC749C" w:rsidRDefault="00DC749C" w:rsidP="00A33BA2">
      <w:pPr>
        <w:pStyle w:val="BodytextIndented"/>
        <w:numPr>
          <w:ilvl w:val="1"/>
          <w:numId w:val="17"/>
        </w:numPr>
        <w:tabs>
          <w:tab w:val="left" w:pos="2847"/>
        </w:tabs>
        <w:ind w:left="426" w:hanging="426"/>
        <w:rPr>
          <w:i/>
          <w:lang w:val="en-GB"/>
        </w:rPr>
      </w:pPr>
      <w:r w:rsidRPr="00DC749C">
        <w:rPr>
          <w:i/>
          <w:lang w:val="en-GB"/>
        </w:rPr>
        <w:t>Berdasarkan Konteks Artikel</w:t>
      </w:r>
    </w:p>
    <w:p w14:paraId="7CFF2988" w14:textId="77777777" w:rsidR="002A418F" w:rsidRDefault="000A1270" w:rsidP="00B110AF">
      <w:pPr>
        <w:pStyle w:val="BodytextIndented"/>
        <w:tabs>
          <w:tab w:val="left" w:pos="2847"/>
        </w:tabs>
        <w:ind w:firstLine="360"/>
        <w:rPr>
          <w:lang w:val="en-GB"/>
        </w:rPr>
      </w:pPr>
      <w:r>
        <w:rPr>
          <w:lang w:val="en-GB"/>
        </w:rPr>
        <w:t xml:space="preserve">Melalui perpaduan kata kunci yang digunakan, secara mayoritas, konteks </w:t>
      </w:r>
      <w:r w:rsidR="008B1601">
        <w:rPr>
          <w:lang w:val="en-GB"/>
        </w:rPr>
        <w:t xml:space="preserve">yang </w:t>
      </w:r>
      <w:r>
        <w:rPr>
          <w:lang w:val="en-GB"/>
        </w:rPr>
        <w:t xml:space="preserve">diteliti terkait dengan prediksi performa siswa. </w:t>
      </w:r>
      <w:r w:rsidR="00B110AF">
        <w:rPr>
          <w:lang w:val="en-GB"/>
        </w:rPr>
        <w:t>Total artikel yang meneliti tentang prediksi perf</w:t>
      </w:r>
      <w:r w:rsidR="00071372">
        <w:rPr>
          <w:lang w:val="en-GB"/>
        </w:rPr>
        <w:t>orma siswa sebanyak 10 artikel, yang terdiri dari artikel ke 1, 3, 4, 8, 16, 18, 24, 25, 27, 30.</w:t>
      </w:r>
    </w:p>
    <w:p w14:paraId="63E94CC0" w14:textId="77777777" w:rsidR="004C3DED" w:rsidRPr="007E109B" w:rsidRDefault="000A1270" w:rsidP="000A1270">
      <w:pPr>
        <w:pStyle w:val="BodytextIndented"/>
        <w:tabs>
          <w:tab w:val="left" w:pos="1605"/>
        </w:tabs>
        <w:ind w:left="426" w:firstLine="0"/>
        <w:rPr>
          <w:lang w:val="en-GB"/>
        </w:rPr>
      </w:pPr>
      <w:r>
        <w:rPr>
          <w:lang w:val="en-GB"/>
        </w:rPr>
        <w:lastRenderedPageBreak/>
        <w:tab/>
      </w:r>
    </w:p>
    <w:p w14:paraId="083255D1" w14:textId="77777777" w:rsidR="00A33BA2" w:rsidRDefault="00A33BA2" w:rsidP="00A33BA2">
      <w:pPr>
        <w:pStyle w:val="BodytextIndented"/>
        <w:tabs>
          <w:tab w:val="left" w:pos="2847"/>
        </w:tabs>
        <w:ind w:left="426" w:firstLine="0"/>
        <w:rPr>
          <w:lang w:val="en-GB"/>
        </w:rPr>
      </w:pPr>
    </w:p>
    <w:p w14:paraId="0E12F444" w14:textId="77777777" w:rsidR="00A3551D" w:rsidRDefault="000A3453" w:rsidP="000A3453">
      <w:pPr>
        <w:pStyle w:val="BodytextIndented"/>
        <w:tabs>
          <w:tab w:val="left" w:pos="2847"/>
        </w:tabs>
        <w:ind w:left="426" w:firstLine="0"/>
        <w:jc w:val="center"/>
        <w:rPr>
          <w:lang w:val="en-GB"/>
        </w:rPr>
      </w:pPr>
      <w:r>
        <w:rPr>
          <w:noProof/>
        </w:rPr>
        <w:drawing>
          <wp:inline distT="0" distB="0" distL="0" distR="0" wp14:anchorId="55542EB0" wp14:editId="198FEA16">
            <wp:extent cx="4333875" cy="3695700"/>
            <wp:effectExtent l="0" t="0" r="952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31972B" w14:textId="77777777" w:rsidR="000A3453" w:rsidRPr="00CE57CF" w:rsidRDefault="000A3453" w:rsidP="000A3453">
      <w:pPr>
        <w:pStyle w:val="FigureCaption"/>
        <w:spacing w:before="120"/>
        <w:rPr>
          <w:rFonts w:ascii="Times New Roman" w:hAnsi="Times New Roman"/>
        </w:rPr>
      </w:pPr>
      <w:r w:rsidRPr="00CE57CF">
        <w:rPr>
          <w:rFonts w:ascii="Times New Roman" w:hAnsi="Times New Roman"/>
          <w:b/>
        </w:rPr>
        <w:t xml:space="preserve">Figure 3. </w:t>
      </w:r>
      <w:r w:rsidR="008E4E69">
        <w:rPr>
          <w:rFonts w:ascii="Times New Roman" w:hAnsi="Times New Roman"/>
        </w:rPr>
        <w:t>Article Based on Article Context</w:t>
      </w:r>
    </w:p>
    <w:p w14:paraId="71810484" w14:textId="77777777" w:rsidR="000A3453" w:rsidRDefault="000A3453" w:rsidP="00A33BA2">
      <w:pPr>
        <w:pStyle w:val="BodytextIndented"/>
        <w:tabs>
          <w:tab w:val="left" w:pos="2847"/>
        </w:tabs>
        <w:ind w:left="426" w:firstLine="0"/>
        <w:rPr>
          <w:lang w:val="en-GB"/>
        </w:rPr>
      </w:pPr>
    </w:p>
    <w:p w14:paraId="7D97291F" w14:textId="77777777" w:rsidR="00DC749C" w:rsidRDefault="00DC749C" w:rsidP="00A33BA2">
      <w:pPr>
        <w:pStyle w:val="BodytextIndented"/>
        <w:numPr>
          <w:ilvl w:val="1"/>
          <w:numId w:val="17"/>
        </w:numPr>
        <w:tabs>
          <w:tab w:val="left" w:pos="2847"/>
        </w:tabs>
        <w:ind w:left="426" w:hanging="426"/>
        <w:rPr>
          <w:i/>
          <w:lang w:val="en-GB"/>
        </w:rPr>
      </w:pPr>
      <w:r w:rsidRPr="00DC749C">
        <w:rPr>
          <w:i/>
          <w:lang w:val="en-GB"/>
        </w:rPr>
        <w:t>Berdasarkan Metode Pembelajaran Mesin</w:t>
      </w:r>
    </w:p>
    <w:p w14:paraId="2B117D21" w14:textId="77777777" w:rsidR="008104C8" w:rsidRPr="00650620" w:rsidRDefault="008A6E2A" w:rsidP="008A6E2A">
      <w:pPr>
        <w:pStyle w:val="BodytextIndented"/>
        <w:tabs>
          <w:tab w:val="left" w:pos="2847"/>
        </w:tabs>
        <w:ind w:firstLine="426"/>
        <w:rPr>
          <w:lang w:val="en-GB"/>
        </w:rPr>
      </w:pPr>
      <w:r>
        <w:rPr>
          <w:lang w:val="en-GB"/>
        </w:rPr>
        <w:t>Diantara beberapa artikel, baik itu yang penelitiannya bersifat perbandingan maupun tidak, m</w:t>
      </w:r>
      <w:r w:rsidR="00650620">
        <w:rPr>
          <w:lang w:val="en-GB"/>
        </w:rPr>
        <w:t xml:space="preserve">etode yang paling banyak digunakan adalah </w:t>
      </w:r>
      <w:r w:rsidR="00650620" w:rsidRPr="00650620">
        <w:rPr>
          <w:i/>
          <w:lang w:val="en-GB"/>
        </w:rPr>
        <w:t>Decision Tree</w:t>
      </w:r>
      <w:r w:rsidR="00650620">
        <w:rPr>
          <w:lang w:val="en-GB"/>
        </w:rPr>
        <w:t xml:space="preserve"> dan </w:t>
      </w:r>
      <w:r w:rsidR="00650620" w:rsidRPr="00650620">
        <w:rPr>
          <w:i/>
          <w:lang w:val="en-GB"/>
        </w:rPr>
        <w:t>Random Forest</w:t>
      </w:r>
      <w:r w:rsidR="00650620">
        <w:rPr>
          <w:lang w:val="en-GB"/>
        </w:rPr>
        <w:t xml:space="preserve">, yaitu sebanyak 5 </w:t>
      </w:r>
      <w:r>
        <w:rPr>
          <w:lang w:val="en-GB"/>
        </w:rPr>
        <w:t>kali penggunaan</w:t>
      </w:r>
      <w:r w:rsidR="00650620">
        <w:rPr>
          <w:lang w:val="en-GB"/>
        </w:rPr>
        <w:t xml:space="preserve">. </w:t>
      </w:r>
      <w:r>
        <w:rPr>
          <w:lang w:val="en-GB"/>
        </w:rPr>
        <w:t xml:space="preserve">Metode </w:t>
      </w:r>
      <w:r w:rsidRPr="008A6E2A">
        <w:rPr>
          <w:i/>
          <w:lang w:val="en-GB"/>
        </w:rPr>
        <w:t>Logistic Regression</w:t>
      </w:r>
      <w:r>
        <w:rPr>
          <w:lang w:val="en-GB"/>
        </w:rPr>
        <w:t xml:space="preserve">, </w:t>
      </w:r>
      <w:r w:rsidRPr="008A6E2A">
        <w:rPr>
          <w:i/>
          <w:lang w:val="en-GB"/>
        </w:rPr>
        <w:t>Naïve Bayes</w:t>
      </w:r>
      <w:r>
        <w:rPr>
          <w:lang w:val="en-GB"/>
        </w:rPr>
        <w:t xml:space="preserve">, dan </w:t>
      </w:r>
      <w:r w:rsidRPr="008A6E2A">
        <w:rPr>
          <w:i/>
          <w:lang w:val="en-GB"/>
        </w:rPr>
        <w:t>Artificial Neural Network</w:t>
      </w:r>
      <w:r>
        <w:rPr>
          <w:lang w:val="en-GB"/>
        </w:rPr>
        <w:t xml:space="preserve"> menjadi kedua yang unggul </w:t>
      </w:r>
      <w:r w:rsidR="00BF6596">
        <w:rPr>
          <w:lang w:val="en-GB"/>
        </w:rPr>
        <w:t xml:space="preserve">setelah </w:t>
      </w:r>
      <w:r w:rsidR="00BF6596" w:rsidRPr="00BF6596">
        <w:rPr>
          <w:i/>
          <w:lang w:val="en-GB"/>
        </w:rPr>
        <w:t>Decision Tree</w:t>
      </w:r>
      <w:r w:rsidR="00BF6596">
        <w:rPr>
          <w:lang w:val="en-GB"/>
        </w:rPr>
        <w:t xml:space="preserve"> dan </w:t>
      </w:r>
      <w:r w:rsidR="00BF6596" w:rsidRPr="00BF6596">
        <w:rPr>
          <w:i/>
          <w:lang w:val="en-GB"/>
        </w:rPr>
        <w:t>Random Forest</w:t>
      </w:r>
      <w:r w:rsidR="00BF6596">
        <w:rPr>
          <w:lang w:val="en-GB"/>
        </w:rPr>
        <w:t xml:space="preserve"> </w:t>
      </w:r>
      <w:r>
        <w:rPr>
          <w:lang w:val="en-GB"/>
        </w:rPr>
        <w:t xml:space="preserve">dalam penggunaan metodenya, yaitu sebanyak 3 kali penggunaan. </w:t>
      </w:r>
    </w:p>
    <w:p w14:paraId="58FA1FFF" w14:textId="77777777" w:rsidR="0027552C" w:rsidRPr="00824E7C" w:rsidRDefault="0027552C" w:rsidP="0027552C">
      <w:pPr>
        <w:pStyle w:val="BodytextIndented"/>
        <w:tabs>
          <w:tab w:val="left" w:pos="2847"/>
        </w:tabs>
        <w:ind w:left="426" w:firstLine="0"/>
        <w:jc w:val="center"/>
        <w:rPr>
          <w:lang w:val="en-GB"/>
        </w:rPr>
      </w:pPr>
    </w:p>
    <w:p w14:paraId="0EAA5EA5" w14:textId="77777777" w:rsidR="00A33BA2" w:rsidRDefault="00A33BA2" w:rsidP="00A33BA2">
      <w:pPr>
        <w:pStyle w:val="BodytextIndented"/>
        <w:tabs>
          <w:tab w:val="left" w:pos="2847"/>
        </w:tabs>
        <w:ind w:firstLine="0"/>
        <w:rPr>
          <w:lang w:val="en-GB"/>
        </w:rPr>
      </w:pPr>
    </w:p>
    <w:p w14:paraId="38FD8DB9" w14:textId="77777777" w:rsidR="00A3551D" w:rsidRDefault="000A3453" w:rsidP="000A3453">
      <w:pPr>
        <w:pStyle w:val="BodytextIndented"/>
        <w:tabs>
          <w:tab w:val="left" w:pos="2847"/>
        </w:tabs>
        <w:ind w:firstLine="0"/>
        <w:jc w:val="center"/>
        <w:rPr>
          <w:lang w:val="en-GB"/>
        </w:rPr>
      </w:pPr>
      <w:r>
        <w:rPr>
          <w:noProof/>
        </w:rPr>
        <w:lastRenderedPageBreak/>
        <w:drawing>
          <wp:inline distT="0" distB="0" distL="0" distR="0" wp14:anchorId="411400CB" wp14:editId="376F4B6E">
            <wp:extent cx="4514850" cy="5229225"/>
            <wp:effectExtent l="0" t="0" r="0"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32CB5E" w14:textId="77777777" w:rsidR="000A3453" w:rsidRDefault="00892218" w:rsidP="000A3453">
      <w:pPr>
        <w:pStyle w:val="FigureCaption"/>
        <w:spacing w:before="120"/>
        <w:rPr>
          <w:rFonts w:ascii="Times New Roman" w:hAnsi="Times New Roman"/>
        </w:rPr>
      </w:pPr>
      <w:r>
        <w:rPr>
          <w:rFonts w:ascii="Times New Roman" w:hAnsi="Times New Roman"/>
          <w:b/>
        </w:rPr>
        <w:t>Figure 4</w:t>
      </w:r>
      <w:r w:rsidR="000A3453" w:rsidRPr="00CE57CF">
        <w:rPr>
          <w:rFonts w:ascii="Times New Roman" w:hAnsi="Times New Roman"/>
          <w:b/>
        </w:rPr>
        <w:t xml:space="preserve">. </w:t>
      </w:r>
      <w:r w:rsidR="008E4E69">
        <w:rPr>
          <w:rFonts w:ascii="Times New Roman" w:hAnsi="Times New Roman"/>
        </w:rPr>
        <w:t>Article Based on Machine Learning Method</w:t>
      </w:r>
    </w:p>
    <w:p w14:paraId="21B0DB33" w14:textId="77777777" w:rsidR="002A418F" w:rsidRDefault="008A6E2A" w:rsidP="008A6E2A">
      <w:pPr>
        <w:pStyle w:val="BodytextIndented"/>
        <w:tabs>
          <w:tab w:val="left" w:pos="2505"/>
        </w:tabs>
        <w:ind w:firstLine="0"/>
        <w:rPr>
          <w:lang w:val="en-GB"/>
        </w:rPr>
      </w:pPr>
      <w:r>
        <w:rPr>
          <w:lang w:val="en-GB"/>
        </w:rPr>
        <w:tab/>
      </w:r>
    </w:p>
    <w:p w14:paraId="18D5E55B" w14:textId="77777777" w:rsidR="002A418F" w:rsidRDefault="008A6E2A" w:rsidP="0075200D">
      <w:pPr>
        <w:pStyle w:val="BodytextIndented"/>
        <w:tabs>
          <w:tab w:val="left" w:pos="2847"/>
        </w:tabs>
        <w:ind w:firstLine="426"/>
        <w:rPr>
          <w:lang w:val="en-GB"/>
        </w:rPr>
      </w:pPr>
      <w:r>
        <w:rPr>
          <w:lang w:val="en-GB"/>
        </w:rPr>
        <w:t xml:space="preserve">Algoritma </w:t>
      </w:r>
      <w:r w:rsidRPr="008A6E2A">
        <w:rPr>
          <w:i/>
          <w:lang w:val="en-GB"/>
        </w:rPr>
        <w:t>Decision Tree</w:t>
      </w:r>
      <w:r>
        <w:rPr>
          <w:lang w:val="en-GB"/>
        </w:rPr>
        <w:t xml:space="preserve"> diterapkan</w:t>
      </w:r>
      <w:r w:rsidR="002F270A">
        <w:rPr>
          <w:lang w:val="en-GB"/>
        </w:rPr>
        <w:t xml:space="preserve"> dalam konteks </w:t>
      </w:r>
      <w:r w:rsidR="002F270A" w:rsidRPr="002F270A">
        <w:rPr>
          <w:i/>
          <w:lang w:val="en-GB"/>
        </w:rPr>
        <w:t>academic guidance</w:t>
      </w:r>
      <w:r w:rsidR="00682911">
        <w:rPr>
          <w:i/>
          <w:lang w:val="en-GB"/>
        </w:rPr>
        <w:t xml:space="preserve"> </w:t>
      </w:r>
      <w:r w:rsidR="00682911">
        <w:rPr>
          <w:i/>
          <w:lang w:val="en-GB"/>
        </w:rPr>
        <w:fldChar w:fldCharType="begin" w:fldLock="1"/>
      </w:r>
      <w:r w:rsidR="00E530E4">
        <w:rPr>
          <w:i/>
          <w:lang w:val="en-GB"/>
        </w:rPr>
        <w:instrText>ADDIN CSL_CITATION {"citationItems":[{"id":"ITEM-1","itemData":{"DOI":"10.1007/s10639-018-9838-8","ISBN":"1063901898","ISSN":"15737608","abstract":"The educational recommendation system to provide support for academic guidance and adaptive learning has always been an important issue of research for smart education. A bad guidance can give rise to difficulties in further studies and can be extended to school dropout. This paper explores the potential of Educational Data Mining for academic guidance recommendation by predicting students’ performance which involves analyzing data of students’ records, socio-economic data and of course the student’s motivation. The proposed model was analyzed and tested using student’s data collected from the preparatory classes for “Grandes Ecoles” Reda Slaoui (CPGE) - Morocco. More specifically, it proposes the use of three models that were applied on real data: Decision tree, Naive Bayes, and Neural networks. The data include the classes period (2012–2014 and 2013–2015) of 330 students in specialty the grade Mathematical Physics (MP) and Engineering Sciences (MPSI). The performance results indicate that our framework can make more accurate predictions of students’ performance.","author":[{"dropping-particle":"","family":"Mimis","given":"Mohamed","non-dropping-particle":"","parse-names":false,"suffix":""},{"dropping-particle":"","family":"Hajji","given":"Mohamed","non-dropping-particle":"El","parse-names":false,"suffix":""},{"dropping-particle":"","family":"Es-saady","given":"Youssef","non-dropping-particle":"","parse-names":false,"suffix":""},{"dropping-particle":"","family":"Oueld Guejdi","given":"Abdellah","non-dropping-particle":"","parse-names":false,"suffix":""},{"dropping-particle":"","family":"Douzi","given":"Hassan","non-dropping-particle":"","parse-names":false,"suffix":""},{"dropping-particle":"","family":"Mammass","given":"Driss","non-dropping-particle":"","parse-names":false,"suffix":""}],"container-title":"Education and Information Technologies","id":"ITEM-1","issue":"2","issued":{"date-parts":[["2019"]]},"page":"1379-1393","publisher":"Education and Information Technologies","title":"A framework for smart academic guidance using educational data mining","type":"article-journal","volume":"24"},"uris":["http://www.mendeley.com/documents/?uuid=49573799-8ade-4f3f-9ab1-7673ca18e571"]}],"mendeley":{"formattedCitation":"[22]","plainTextFormattedCitation":"[22]","previouslyFormattedCitation":"[22]"},"properties":{"noteIndex":0},"schema":"https://github.com/citation-style-language/schema/raw/master/csl-citation.json"}</w:instrText>
      </w:r>
      <w:r w:rsidR="00682911">
        <w:rPr>
          <w:i/>
          <w:lang w:val="en-GB"/>
        </w:rPr>
        <w:fldChar w:fldCharType="separate"/>
      </w:r>
      <w:r w:rsidR="00E530E4" w:rsidRPr="00E530E4">
        <w:rPr>
          <w:noProof/>
          <w:lang w:val="en-GB"/>
        </w:rPr>
        <w:t>[22]</w:t>
      </w:r>
      <w:r w:rsidR="00682911">
        <w:rPr>
          <w:i/>
          <w:lang w:val="en-GB"/>
        </w:rPr>
        <w:fldChar w:fldCharType="end"/>
      </w:r>
      <w:r w:rsidR="002F270A">
        <w:rPr>
          <w:lang w:val="en-GB"/>
        </w:rPr>
        <w:t xml:space="preserve">, </w:t>
      </w:r>
      <w:r w:rsidR="002F270A" w:rsidRPr="002F270A">
        <w:rPr>
          <w:i/>
          <w:lang w:val="en-GB"/>
        </w:rPr>
        <w:t>prediction student performance</w:t>
      </w:r>
      <w:r w:rsidR="00682911">
        <w:rPr>
          <w:i/>
          <w:lang w:val="en-GB"/>
        </w:rPr>
        <w:t xml:space="preserve"> </w:t>
      </w:r>
      <w:r w:rsidR="00682911">
        <w:rPr>
          <w:i/>
          <w:lang w:val="en-GB"/>
        </w:rPr>
        <w:fldChar w:fldCharType="begin" w:fldLock="1"/>
      </w:r>
      <w:r w:rsidR="00E530E4">
        <w:rPr>
          <w:i/>
          <w:lang w:val="en-GB"/>
        </w:rPr>
        <w:instrText>ADDIN CSL_CITATION {"citationItems":[{"id":"ITEM-1","itemData":{"DOI":"10.1007/s10639-018-9839-7","ISBN":"1063901898397","ISSN":"15737608","abstract":"The academic performance of a student in a university is determined by a number of factors, both academic and non-academic. Student that previously excelled at the secondary school level may lose focus due to peer pressure and social lifestyle while those who previously struggled due to family distractions may be able to focus away from home, and as a result excel at the university. University admission in Nigeria is typically based on cognitive entry characteristics of a student which is mostly academic, and may not necessarily translate to excellence once in the university. In this study, the relationship between the cognitive admission entry requirements and the academic performance of students in their first year, using their CGPA and class of degree was examined using six data mining algorithms in KNIME and Orange platforms. Maximum accuracies of 50.23% and 51.9% respectively were observed, and the results were verified using regression models, with R 2 values of 0.207 and 0.232 recorded which indicate that students’ performance in their first year is not fully explained by cognitive entry requirements.","author":[{"dropping-particle":"","family":"Adekitan","given":"Aderibigbe Israel","non-dropping-particle":"","parse-names":false,"suffix":""},{"dropping-particle":"","family":"Noma-Osaghae","given":"Etinosa","non-dropping-particle":"","parse-names":false,"suffix":""}],"container-title":"Education and Information Technologies","id":"ITEM-1","issue":"2","issued":{"date-parts":[["2019"]]},"page":"1527-1543","publisher":"Education and Information Technologies","title":"Data mining approach to predicting the performance of first year student in a university using the admission requirements","type":"article-journal","volume":"24"},"uris":["http://www.mendeley.com/documents/?uuid=203cb89a-61e2-4065-ae35-3cf51b8b8aa7"]}],"mendeley":{"formattedCitation":"[24]","plainTextFormattedCitation":"[24]","previouslyFormattedCitation":"[24]"},"properties":{"noteIndex":0},"schema":"https://github.com/citation-style-language/schema/raw/master/csl-citation.json"}</w:instrText>
      </w:r>
      <w:r w:rsidR="00682911">
        <w:rPr>
          <w:i/>
          <w:lang w:val="en-GB"/>
        </w:rPr>
        <w:fldChar w:fldCharType="separate"/>
      </w:r>
      <w:r w:rsidR="00E530E4" w:rsidRPr="00E530E4">
        <w:rPr>
          <w:noProof/>
          <w:lang w:val="en-GB"/>
        </w:rPr>
        <w:t>[24]</w:t>
      </w:r>
      <w:r w:rsidR="00682911">
        <w:rPr>
          <w:i/>
          <w:lang w:val="en-GB"/>
        </w:rPr>
        <w:fldChar w:fldCharType="end"/>
      </w:r>
      <w:r w:rsidR="00E46E37">
        <w:rPr>
          <w:i/>
          <w:lang w:val="en-GB"/>
        </w:rPr>
        <w:fldChar w:fldCharType="begin" w:fldLock="1"/>
      </w:r>
      <w:r w:rsidR="00BA4701">
        <w:rPr>
          <w:i/>
          <w:lang w:val="en-GB"/>
        </w:rPr>
        <w:instrText>ADDIN CSL_CITATION {"citationItems":[{"id":"ITEM-1","itemData":{"DOI":"10.1016/j.compedu.2017.05.007","ISSN":"03601315","abstract":"The tremendous growth in electronic data of universities creates the need to have some meaningful information extracted from these large volumes of data. The advancement in the data mining field makes it possible to mine educational data in order to improve the quality of the educational processes. This study, thus, uses data mining methods to study the performance of undergraduate students. Two aspects of students' performance have been focused upon. First, predicting students' academic achievement at the end of a four-year study programme. Second, studying typical progressions and combining them with prediction results. Two important groups of students have been identified: the low and high achieving students. The results indicate that by focusing on a small number of courses that are indicators of particularly good or poor performance, it is possible to provide timely warning and support to low achieving students, and advice and opportunities to high performing students.","author":[{"dropping-particle":"","family":"Asif","given":"Raheela","non-dropping-particle":"","parse-names":false,"suffix":""},{"dropping-particle":"","family":"Merceron","given":"Agathe","non-dropping-particle":"","parse-names":false,"suffix":""},{"dropping-particle":"","family":"Ali","given":"Syed Abbas","non-dropping-particle":"","parse-names":false,"suffix":""},{"dropping-particle":"","family":"Haider","given":"Najmi Ghani","non-dropping-particle":"","parse-names":false,"suffix":""}],"container-title":"Computers and Education","id":"ITEM-1","issued":{"date-parts":[["2017"]]},"page":"177-194","publisher":"Elsevier Ltd","title":"Analyzing undergraduate students' performance using educational data mining","type":"article-journal","volume":"113"},"uris":["http://www.mendeley.com/documents/?uuid=b9c497db-d4ff-4b43-8d25-f7464339ccda"]}],"mendeley":{"formattedCitation":"[36]","plainTextFormattedCitation":"[36]","previouslyFormattedCitation":"[36]"},"properties":{"noteIndex":0},"schema":"https://github.com/citation-style-language/schema/raw/master/csl-citation.json"}</w:instrText>
      </w:r>
      <w:r w:rsidR="00E46E37">
        <w:rPr>
          <w:i/>
          <w:lang w:val="en-GB"/>
        </w:rPr>
        <w:fldChar w:fldCharType="separate"/>
      </w:r>
      <w:r w:rsidR="00BA4701" w:rsidRPr="00BA4701">
        <w:rPr>
          <w:noProof/>
          <w:lang w:val="en-GB"/>
        </w:rPr>
        <w:t>[36]</w:t>
      </w:r>
      <w:r w:rsidR="00E46E37">
        <w:rPr>
          <w:i/>
          <w:lang w:val="en-GB"/>
        </w:rPr>
        <w:fldChar w:fldCharType="end"/>
      </w:r>
      <w:r w:rsidR="00682911">
        <w:rPr>
          <w:i/>
          <w:lang w:val="en-GB"/>
        </w:rPr>
        <w:fldChar w:fldCharType="begin" w:fldLock="1"/>
      </w:r>
      <w:r w:rsidR="0074217D">
        <w:rPr>
          <w:i/>
          <w:lang w:val="en-GB"/>
        </w:rPr>
        <w:instrText>ADDIN CSL_CITATION {"citationItems":[{"id":"ITEM-1","itemData":{"DOI":"10.1016/j.compedu.2018.04.006","ISSN":"03601315","abstract":"Student performance, student progress and student potential are critical for measuring learning results, selecting learning materials and learning activities. However, existing work doesn't provide enough analysis tools to analyze how students performed, which factors would affect their performance, in which way students can make progress, and whether students have potential to perform better. To solve those problems, we have provided multiple analysis tools to analyze student performance, student progress and student potentials in different ways. First, this paper formulates student model with performance related attributes and non-performance related attributes by Student Attribute Matrix (SAM), which quantifies student attributes, so that we can use it to make further analysis. Second, this paper provides a student performance estimation tools using Back Propagation Neural Network (BP-NN) based on classification, which can estimate student performance/attributes according to students' prior knowledge as well as the performance/attributes of other students who have similar characteristics. Third, this paper proposes student progress indicators and attribute causal relationship predicator based on BP-NN to comprehensively describe student progress on various aspects together with their causal relationships. Those indicators and predicator can tell how much a factor would affect student performance, so that we can train up students on purpose. Finally, this paper proposes a student potential function that evaluates student achievement and development of such attributes. We have illustrated our analysis tools by using real academic performance data collected from 60 high school students. Evaluation results show that the proposed tools can give correct and more accurate results, and also offer a better understanding on student progress.","author":[{"dropping-particle":"","family":"Yang","given":"Fan","non-dropping-particle":"","parse-names":false,"suffix":""},{"dropping-particle":"","family":"Li","given":"Frederick W.B.","non-dropping-particle":"","parse-names":false,"suffix":""}],"container-title":"Computers and Education","id":"ITEM-1","issue":"October 2017","issued":{"date-parts":[["2018"]]},"page":"97-108","publisher":"Elsevier","title":"Study on student performance estimation, student progress analysis, and student potential prediction based on data mining","type":"article-journal","volume":"123"},"uris":["http://www.mendeley.com/documents/?uuid=f4a2ae99-ac5d-4af0-b314-70bf070a81b8"]}],"mendeley":{"formattedCitation":"[38]","plainTextFormattedCitation":"[38]","previouslyFormattedCitation":"[38]"},"properties":{"noteIndex":0},"schema":"https://github.com/citation-style-language/schema/raw/master/csl-citation.json"}</w:instrText>
      </w:r>
      <w:r w:rsidR="00682911">
        <w:rPr>
          <w:i/>
          <w:lang w:val="en-GB"/>
        </w:rPr>
        <w:fldChar w:fldCharType="separate"/>
      </w:r>
      <w:r w:rsidR="00BA4701" w:rsidRPr="00BA4701">
        <w:rPr>
          <w:noProof/>
          <w:lang w:val="en-GB"/>
        </w:rPr>
        <w:t>[38]</w:t>
      </w:r>
      <w:r w:rsidR="00682911">
        <w:rPr>
          <w:i/>
          <w:lang w:val="en-GB"/>
        </w:rPr>
        <w:fldChar w:fldCharType="end"/>
      </w:r>
      <w:r w:rsidR="00682911">
        <w:rPr>
          <w:i/>
          <w:lang w:val="en-GB"/>
        </w:rPr>
        <w:fldChar w:fldCharType="begin" w:fldLock="1"/>
      </w:r>
      <w:r w:rsidR="00E530E4">
        <w:rPr>
          <w:i/>
          <w:lang w:val="en-GB"/>
        </w:rPr>
        <w:instrText>ADDIN CSL_CITATION {"citationItems":[{"id":"ITEM-1","itemData":{"DOI":"10.3390/su11102833","ISSN":"20711050","abstract":"The present work proposes the application of machine learning techniques to predict the final grades (FGs) of students based on their historical performance of grades. The proposal was applied to the historical academic information available for students enrolled in the computer engineering degree at an Ecuadorian university. One of the aims of the university's strategic plan is the development of a quality education that is intimately linked with sustainable development goals (SDGs). The application of technology in teaching-learning processes (Technology-enhanced learning) must become a key element to achieve the objective of academic quality and, as a consequence, enhance or benefit the common good. Today, both virtual and face-to-face educational models promote the application of information and communication technologies (ICT) in both teaching-learning processes and academic management processes. This implementation has generated an overload of data that needs to be processed properly in order to transform it into valuable information useful for all those involved in the field of education. Predicting a student's performance from their historical grades is one of the most popular applications of educational data mining and, therefore, it has become a valuable source of information that has been used for different purposes. Nevertheless, several studies related to the prediction of academic grades have been developed exclusively for the benefit of teachers and educational administrators. Little or nothing has been done to show the results of the prediction of the grades to the students. Consequently, there is very little research related to solutions that help students make decisions based on their own historical grades. This paper proposes a methodology in which the process of data collection and pre-processing is initially carried out, and then in a second stage, the grouping of students with similar patterns of academic performance was carried out. In the next phase, based on the identified patterns, the most appropriate supervised learning algorithm was selected, and then the experimental process was carried out. Finally, the results were presented and analyzed. The results showed the effectiveness of machine learning techniques to predict the performance of students.","author":[{"dropping-particle":"","family":"Buenaño-Fernández","given":"Diego","non-dropping-particle":"","parse-names":false,"suffix":""},{"dropping-particle":"","family":"Gil","given":"David","non-dropping-particle":"","parse-names":false,"suffix":""},{"dropping-particle":"","family":"Luján-Mora","given":"Sergio","non-dropping-particle":"","parse-names":false,"suffix":""}],"container-title":"Sustainability (Switzerland)","id":"ITEM-1","issue":"10","issued":{"date-parts":[["2019"]]},"page":"1-18","title":"Application of machine learning in predicting performance for computer engineering students: A case study","type":"article-journal","volume":"11"},"uris":["http://www.mendeley.com/documents/?uuid=db642649-6677-427c-85d1-de2b7a412947"]}],"mendeley":{"formattedCitation":"[26]","plainTextFormattedCitation":"[26]","previouslyFormattedCitation":"[26]"},"properties":{"noteIndex":0},"schema":"https://github.com/citation-style-language/schema/raw/master/csl-citation.json"}</w:instrText>
      </w:r>
      <w:r w:rsidR="00682911">
        <w:rPr>
          <w:i/>
          <w:lang w:val="en-GB"/>
        </w:rPr>
        <w:fldChar w:fldCharType="separate"/>
      </w:r>
      <w:r w:rsidR="00E530E4" w:rsidRPr="00E530E4">
        <w:rPr>
          <w:noProof/>
          <w:lang w:val="en-GB"/>
        </w:rPr>
        <w:t>[26]</w:t>
      </w:r>
      <w:r w:rsidR="00682911">
        <w:rPr>
          <w:i/>
          <w:lang w:val="en-GB"/>
        </w:rPr>
        <w:fldChar w:fldCharType="end"/>
      </w:r>
      <w:r w:rsidR="002F270A">
        <w:rPr>
          <w:i/>
          <w:lang w:val="en-GB"/>
        </w:rPr>
        <w:t xml:space="preserve">, </w:t>
      </w:r>
      <w:r w:rsidR="00013A02" w:rsidRPr="00013A02">
        <w:rPr>
          <w:lang w:val="en-GB"/>
        </w:rPr>
        <w:t>dan</w:t>
      </w:r>
      <w:r w:rsidR="00013A02">
        <w:rPr>
          <w:i/>
          <w:lang w:val="en-GB"/>
        </w:rPr>
        <w:t xml:space="preserve"> </w:t>
      </w:r>
      <w:r w:rsidR="002F270A">
        <w:rPr>
          <w:i/>
          <w:lang w:val="en-GB"/>
        </w:rPr>
        <w:t>student collaborative</w:t>
      </w:r>
      <w:r w:rsidR="00682911">
        <w:rPr>
          <w:i/>
          <w:lang w:val="en-GB"/>
        </w:rPr>
        <w:t xml:space="preserve"> </w:t>
      </w:r>
      <w:r w:rsidR="00682911">
        <w:rPr>
          <w:i/>
          <w:lang w:val="en-GB"/>
        </w:rPr>
        <w:fldChar w:fldCharType="begin" w:fldLock="1"/>
      </w:r>
      <w:r w:rsidR="00E530E4">
        <w:rPr>
          <w:i/>
          <w:lang w:val="en-GB"/>
        </w:rPr>
        <w:instrText>ADDIN CSL_CITATION {"citationItems":[{"id":"ITEM-1","itemData":{"DOI":"10.1145/3294008","ISSN":"19466226","abstract":"This article aims to lay a foundation for the research and practice of machine learning education for creative practitioners. It begins by arguing that it is important to teach machine learning to creative practitioners and to conduct research about this teaching, drawing on related work in creative machine learning, creative computing education, and machine learning education. It then draws on research about design processes in engineering and creative practice to motivate a set of learning objectives for students who wish to design new creative artifacts with machine learning. The article then draws on education research and knowledge of creative computing practices to propose a set of teaching strategies that can be used to support creative computing students in achieving these objectives. Explanations of these strategies are accompanied by concrete descriptions of how they have been employed to develop new lectures and activities, and to design new experiential learning and scaffolding technologies, for teaching some of the first courses in the world focused on teaching machine learning to creative practitioners. The article subsequently draws on data collected from these courses-an online course as well as undergraduate and masters-level courses taught at a university-to begin to understand how this curriculum supported student learning, to understand learners' challenges and mistakes, and to inform future teaching and research.","author":[{"dropping-particle":"","family":"Fiebrink","given":"Rebecca","non-dropping-particle":"","parse-names":false,"suffix":""}],"container-title":"ACM Transactions on Computing Education","id":"ITEM-1","issue":"4","issued":{"date-parts":[["2019"]]},"title":"Machine learning education for artists, musicians, and other creative practitioners","type":"article-journal","volume":"19"},"uris":["http://www.mendeley.com/documents/?uuid=2256fc1e-67c8-4edb-82df-b9372e3a227c"]}],"mendeley":{"formattedCitation":"[27]","plainTextFormattedCitation":"[27]","previouslyFormattedCitation":"[27]"},"properties":{"noteIndex":0},"schema":"https://github.com/citation-style-language/schema/raw/master/csl-citation.json"}</w:instrText>
      </w:r>
      <w:r w:rsidR="00682911">
        <w:rPr>
          <w:i/>
          <w:lang w:val="en-GB"/>
        </w:rPr>
        <w:fldChar w:fldCharType="separate"/>
      </w:r>
      <w:r w:rsidR="00E530E4" w:rsidRPr="00E530E4">
        <w:rPr>
          <w:noProof/>
          <w:lang w:val="en-GB"/>
        </w:rPr>
        <w:t>[27]</w:t>
      </w:r>
      <w:r w:rsidR="00682911">
        <w:rPr>
          <w:i/>
          <w:lang w:val="en-GB"/>
        </w:rPr>
        <w:fldChar w:fldCharType="end"/>
      </w:r>
      <w:r>
        <w:rPr>
          <w:lang w:val="en-GB"/>
        </w:rPr>
        <w:t xml:space="preserve">. Sedangkan algoritma </w:t>
      </w:r>
      <w:r w:rsidRPr="008A6E2A">
        <w:rPr>
          <w:i/>
          <w:lang w:val="en-GB"/>
        </w:rPr>
        <w:t>Random Forest</w:t>
      </w:r>
      <w:r>
        <w:rPr>
          <w:lang w:val="en-GB"/>
        </w:rPr>
        <w:t xml:space="preserve"> diterapkan d</w:t>
      </w:r>
      <w:r w:rsidR="0094195D">
        <w:rPr>
          <w:lang w:val="en-GB"/>
        </w:rPr>
        <w:t>alam konteks</w:t>
      </w:r>
      <w:r w:rsidR="00A30CE0">
        <w:rPr>
          <w:lang w:val="en-GB"/>
        </w:rPr>
        <w:t xml:space="preserve"> </w:t>
      </w:r>
      <w:r w:rsidR="00760BC9" w:rsidRPr="006E4B28">
        <w:rPr>
          <w:i/>
          <w:lang w:val="en-GB"/>
        </w:rPr>
        <w:t>automated analysis</w:t>
      </w:r>
      <w:r w:rsidR="00D574FA">
        <w:rPr>
          <w:i/>
          <w:lang w:val="en-GB"/>
        </w:rPr>
        <w:t xml:space="preserve"> </w:t>
      </w:r>
      <w:r w:rsidR="00D574FA">
        <w:rPr>
          <w:i/>
          <w:lang w:val="en-GB"/>
        </w:rPr>
        <w:fldChar w:fldCharType="begin" w:fldLock="1"/>
      </w:r>
      <w:r w:rsidR="00D574FA">
        <w:rPr>
          <w:i/>
          <w:lang w:val="en-GB"/>
        </w:rPr>
        <w:instrText>ADDIN CSL_CITATION {"citationItems":[{"id":"ITEM-1","itemData":{"DOI":"10.1007/s40593-019-00174-2","ISSN":"15604306","abstract":"Reflective writing is an important educational practice to train reflective thinking. Currently, researchers must manually analyze these writings, limiting practice and research because the analysis is time and resource consuming. This study evaluates whether machine learning can be used to automate this manual analysis. The study investigates eight categories that are often used in models to assess reflective writing, and the evaluation is based on 76 student essays (5080 sentences) that are largely from third- and second-year health, business, and engineering students. To test the automated analysis of reflection in writings, machine learning models were built based on a random sample of 80% of the sentences. These models were then tested on the remaining 20% of the sentences. Overall, the standardized evaluation shows that five out of eight categories can be detected automatically with substantial or almost perfect reliability, while the other three categories can be detected with moderate reliability (Cohen’s κ ranges between.53 and.85). The accuracies of the automated analysis were on average 10% lower than the accuracies of the manual analysis. These findings enable reflection analytics that is immediate and scalable.","author":[{"dropping-particle":"","family":"Ullmann","given":"Thomas Daniel","non-dropping-particle":"","parse-names":false,"suffix":""}],"container-title":"International Journal of Artificial Intelligence in Education","id":"ITEM-1","issue":"2","issued":{"date-parts":[["2019"]]},"page":"217-257","publisher":"International Journal of Artificial Intelligence in Education","title":"Automated Analysis of Reflection in Writing: Validating Machine Learning Approaches","type":"article-journal","volume":"29"},"uris":["http://www.mendeley.com/documents/?uuid=fef591e5-c9dc-4ef5-830e-b52472552b0c"]}],"mendeley":{"formattedCitation":"[15]","plainTextFormattedCitation":"[15]","previouslyFormattedCitation":"[15]"},"properties":{"noteIndex":0},"schema":"https://github.com/citation-style-language/schema/raw/master/csl-citation.json"}</w:instrText>
      </w:r>
      <w:r w:rsidR="00D574FA">
        <w:rPr>
          <w:i/>
          <w:lang w:val="en-GB"/>
        </w:rPr>
        <w:fldChar w:fldCharType="separate"/>
      </w:r>
      <w:r w:rsidR="00D574FA" w:rsidRPr="00D574FA">
        <w:rPr>
          <w:noProof/>
          <w:lang w:val="en-GB"/>
        </w:rPr>
        <w:t>[15]</w:t>
      </w:r>
      <w:r w:rsidR="00D574FA">
        <w:rPr>
          <w:i/>
          <w:lang w:val="en-GB"/>
        </w:rPr>
        <w:fldChar w:fldCharType="end"/>
      </w:r>
      <w:r w:rsidR="00760BC9">
        <w:rPr>
          <w:lang w:val="en-GB"/>
        </w:rPr>
        <w:t xml:space="preserve">, </w:t>
      </w:r>
      <w:r w:rsidR="00760BC9" w:rsidRPr="006E4B28">
        <w:rPr>
          <w:i/>
          <w:lang w:val="en-GB"/>
        </w:rPr>
        <w:t>prediction student performance</w:t>
      </w:r>
      <w:r w:rsidR="00D574FA">
        <w:rPr>
          <w:i/>
          <w:lang w:val="en-GB"/>
        </w:rPr>
        <w:t xml:space="preserve"> </w:t>
      </w:r>
      <w:r w:rsidR="00D574FA">
        <w:rPr>
          <w:i/>
          <w:lang w:val="en-GB"/>
        </w:rPr>
        <w:fldChar w:fldCharType="begin" w:fldLock="1"/>
      </w:r>
      <w:r w:rsidR="00D574FA">
        <w:rPr>
          <w:i/>
          <w:lang w:val="en-GB"/>
        </w:rPr>
        <w:instrText>ADDIN CSL_CITATION {"citationItems":[{"id":"ITEM-1","itemData":{"DOI":"10.1007/s10639-018-9839-7","ISBN":"1063901898397","ISSN":"15737608","abstract":"The academic performance of a student in a university is determined by a number of factors, both academic and non-academic. Student that previously excelled at the secondary school level may lose focus due to peer pressure and social lifestyle while those who previously struggled due to family distractions may be able to focus away from home, and as a result excel at the university. University admission in Nigeria is typically based on cognitive entry characteristics of a student which is mostly academic, and may not necessarily translate to excellence once in the university. In this study, the relationship between the cognitive admission entry requirements and the academic performance of students in their first year, using their CGPA and class of degree was examined using six data mining algorithms in KNIME and Orange platforms. Maximum accuracies of 50.23% and 51.9% respectively were observed, and the results were verified using regression models, with R 2 values of 0.207 and 0.232 recorded which indicate that students’ performance in their first year is not fully explained by cognitive entry requirements.","author":[{"dropping-particle":"","family":"Adekitan","given":"Aderibigbe Israel","non-dropping-particle":"","parse-names":false,"suffix":""},{"dropping-particle":"","family":"Noma-Osaghae","given":"Etinosa","non-dropping-particle":"","parse-names":false,"suffix":""}],"container-title":"Education and Information Technologies","id":"ITEM-1","issue":"2","issued":{"date-parts":[["2019"]]},"page":"1527-1543","publisher":"Education and Information Technologies","title":"Data mining approach to predicting the performance of first year student in a university using the admission requirements","type":"article-journal","volume":"24"},"uris":["http://www.mendeley.com/documents/?uuid=203cb89a-61e2-4065-ae35-3cf51b8b8aa7"]}],"mendeley":{"formattedCitation":"[24]","plainTextFormattedCitation":"[24]","previouslyFormattedCitation":"[24]"},"properties":{"noteIndex":0},"schema":"https://github.com/citation-style-language/schema/raw/master/csl-citation.json"}</w:instrText>
      </w:r>
      <w:r w:rsidR="00D574FA">
        <w:rPr>
          <w:i/>
          <w:lang w:val="en-GB"/>
        </w:rPr>
        <w:fldChar w:fldCharType="separate"/>
      </w:r>
      <w:r w:rsidR="00D574FA" w:rsidRPr="00D574FA">
        <w:rPr>
          <w:noProof/>
          <w:lang w:val="en-GB"/>
        </w:rPr>
        <w:t>[24]</w:t>
      </w:r>
      <w:r w:rsidR="00D574FA">
        <w:rPr>
          <w:i/>
          <w:lang w:val="en-GB"/>
        </w:rPr>
        <w:fldChar w:fldCharType="end"/>
      </w:r>
      <w:r w:rsidR="00760BC9">
        <w:rPr>
          <w:lang w:val="en-GB"/>
        </w:rPr>
        <w:t xml:space="preserve">, </w:t>
      </w:r>
      <w:r w:rsidR="00760BC9" w:rsidRPr="006E4B28">
        <w:rPr>
          <w:i/>
          <w:lang w:val="en-GB"/>
        </w:rPr>
        <w:t>ethics in machine learning</w:t>
      </w:r>
      <w:r w:rsidR="00D574FA">
        <w:rPr>
          <w:i/>
          <w:lang w:val="en-GB"/>
        </w:rPr>
        <w:t xml:space="preserve"> </w:t>
      </w:r>
      <w:r w:rsidR="00D574FA">
        <w:rPr>
          <w:i/>
          <w:lang w:val="en-GB"/>
        </w:rPr>
        <w:fldChar w:fldCharType="begin" w:fldLock="1"/>
      </w:r>
      <w:r w:rsidR="00D574FA">
        <w:rPr>
          <w:i/>
          <w:lang w:val="en-GB"/>
        </w:rPr>
        <w:instrText>ADDIN CSL_CITATION {"citationItems":[{"id":"ITEM-1","itemData":{"DOI":"10.1145/3341164","ISSN":"19466226","abstract":"This article establishes and addresses opportunities for ethics integration into Machine Learning (ML) courses. Following a survey of the history of computing ethics and the current need for ethical consideration within ML, we consider the current state of ML ethics education via an exploratory analysis of course syllabi in computing programs. The results reveal that though ethics is part of the overall educational landscape in these programs, it is not frequently a part of core technical ML courses. To help address this gap, we offer a preliminary framework, developed via a systematic literature review, of relevant ethics questions that should be addressed within an ML project. A pilot study with 85 students confirms that this framework helped them identify and articulate key ethical considerations within their ML projects. Building from this work, we also provide three example ML course modules that bring ethical thinking directly into learning core ML content. Collectively, this research demonstrates: (1) the need for ethics to be taught as integrated within ML coursework, (2) a structured set of questions useful for identifying and addressing potential issues within an ML project, and (3) novel course models that provide examples for how to practically teach ML ethics without sacrificing core course content. An additional by-product of this research is the collection and integration of recent publications in the emerging field of ML ethics education.","author":[{"dropping-particle":"","family":"Saltz","given":"Jeffrey","non-dropping-particle":"","parse-names":false,"suffix":""},{"dropping-particle":"","family":"Skirpan","given":"Michael","non-dropping-particle":"","parse-names":false,"suffix":""},{"dropping-particle":"","family":"Fiesler","given":"Casey","non-dropping-particle":"","parse-names":false,"suffix":""},{"dropping-particle":"","family":"Gorelick","given":"Micha","non-dropping-particle":"","parse-names":false,"suffix":""},{"dropping-particle":"","family":"Yeh","given":"Tom","non-dropping-particle":"","parse-names":false,"suffix":""},{"dropping-particle":"","family":"Heckman","given":"Robert","non-dropping-particle":"","parse-names":false,"suffix":""},{"dropping-particle":"","family":"Dewar","given":"Neil","non-dropping-particle":"","parse-names":false,"suffix":""},{"dropping-particle":"","family":"Beard","given":"Nathan","non-dropping-particle":"","parse-names":false,"suffix":""}],"container-title":"ACM Transactions on Computing Education","id":"ITEM-1","issue":"4","issued":{"date-parts":[["2019"]]},"title":"Integrating ethics within machine learning courses","type":"article-journal","volume":"19"},"uris":["http://www.mendeley.com/documents/?uuid=85ea1e0e-fdbe-4767-9392-398b5f2b221a"]}],"mendeley":{"formattedCitation":"[28]","plainTextFormattedCitation":"[28]","previouslyFormattedCitation":"[28]"},"properties":{"noteIndex":0},"schema":"https://github.com/citation-style-language/schema/raw/master/csl-citation.json"}</w:instrText>
      </w:r>
      <w:r w:rsidR="00D574FA">
        <w:rPr>
          <w:i/>
          <w:lang w:val="en-GB"/>
        </w:rPr>
        <w:fldChar w:fldCharType="separate"/>
      </w:r>
      <w:r w:rsidR="00D574FA" w:rsidRPr="00D574FA">
        <w:rPr>
          <w:noProof/>
          <w:lang w:val="en-GB"/>
        </w:rPr>
        <w:t>[28]</w:t>
      </w:r>
      <w:r w:rsidR="00D574FA">
        <w:rPr>
          <w:i/>
          <w:lang w:val="en-GB"/>
        </w:rPr>
        <w:fldChar w:fldCharType="end"/>
      </w:r>
      <w:r w:rsidR="00760BC9">
        <w:rPr>
          <w:lang w:val="en-GB"/>
        </w:rPr>
        <w:t xml:space="preserve">, </w:t>
      </w:r>
      <w:r w:rsidR="00760BC9" w:rsidRPr="006E4B28">
        <w:rPr>
          <w:i/>
          <w:lang w:val="en-GB"/>
        </w:rPr>
        <w:t>student collaborative</w:t>
      </w:r>
      <w:r w:rsidR="00D574FA">
        <w:rPr>
          <w:i/>
          <w:lang w:val="en-GB"/>
        </w:rPr>
        <w:t xml:space="preserve"> </w:t>
      </w:r>
      <w:r w:rsidR="00D574FA">
        <w:rPr>
          <w:i/>
          <w:lang w:val="en-GB"/>
        </w:rPr>
        <w:fldChar w:fldCharType="begin" w:fldLock="1"/>
      </w:r>
      <w:r w:rsidR="00D574FA">
        <w:rPr>
          <w:i/>
          <w:lang w:val="en-GB"/>
        </w:rPr>
        <w:instrText>ADDIN CSL_CITATION {"citationItems":[{"id":"ITEM-1","itemData":{"DOI":"10.1109/TLT.2017.2704099","ISSN":"19391382","abstract":"Effective collaboration between student peers is not spontaneous. A system that can measure collaboration in real-time may be useful, as it could alert an instructor to pairs that need help in collaborating effectively. We tested whether superficial measures of speech and user interface actions would suffice for measuring collaboration. Pairs of students solved complex math problems while data were collected in the form of verbal interaction and user action logs from the students' tablets. We distinguished four classifications of interactivity: collaboration, cooperation, high asymmetric contribution and low asymmetric contribution. Human coders used richer data (several video streams) to choose one of these codes for each episode. Thousands of features were extracted computationally from the log and audio data. Machine learning was used to induce a detector that also assigned a code to each episode as a function of these features. Detectors for combinations of codes were induced as well. The best detector's overall accuracy was 96 percent (kappa = 0.92) compared to human coding. This high level of agreement suggests that superficial features of speech and log data do suffice for measuring collaboration. However, these results should be viewed as preliminary because the particular task may have made it relatively easy to distinguish collaboration from cooperation.","author":[{"dropping-particle":"","family":"Viswanathan","given":"Sree Aurovindh","non-dropping-particle":"","parse-names":false,"suffix":""},{"dropping-particle":"","family":"Vanlehn","given":"Kurt","non-dropping-particle":"","parse-names":false,"suffix":""}],"container-title":"IEEE Transactions on Learning Technologies","id":"ITEM-1","issue":"2","issued":{"date-parts":[["2018"]]},"page":"230-242","title":"Using the Tablet Gestures and Speech of Pairs of Students to Classify Their Collaboration","type":"article-journal","volume":"11"},"uris":["http://www.mendeley.com/documents/?uuid=41e61933-1a35-471c-a28d-f233643c132f"]}],"mendeley":{"formattedCitation":"[39]","plainTextFormattedCitation":"[39]"},"properties":{"noteIndex":0},"schema":"https://github.com/citation-style-language/schema/raw/master/csl-citation.json"}</w:instrText>
      </w:r>
      <w:r w:rsidR="00D574FA">
        <w:rPr>
          <w:i/>
          <w:lang w:val="en-GB"/>
        </w:rPr>
        <w:fldChar w:fldCharType="separate"/>
      </w:r>
      <w:r w:rsidR="00D574FA" w:rsidRPr="00D574FA">
        <w:rPr>
          <w:noProof/>
          <w:lang w:val="en-GB"/>
        </w:rPr>
        <w:t>[39]</w:t>
      </w:r>
      <w:r w:rsidR="00D574FA">
        <w:rPr>
          <w:i/>
          <w:lang w:val="en-GB"/>
        </w:rPr>
        <w:fldChar w:fldCharType="end"/>
      </w:r>
      <w:r w:rsidR="00760BC9">
        <w:rPr>
          <w:lang w:val="en-GB"/>
        </w:rPr>
        <w:t xml:space="preserve">, dan </w:t>
      </w:r>
      <w:r w:rsidR="00760BC9" w:rsidRPr="006E4B28">
        <w:rPr>
          <w:i/>
          <w:lang w:val="en-GB"/>
        </w:rPr>
        <w:t>student retention</w:t>
      </w:r>
      <w:r w:rsidR="00760BC9">
        <w:rPr>
          <w:lang w:val="en-GB"/>
        </w:rPr>
        <w:t xml:space="preserve"> </w:t>
      </w:r>
      <w:r w:rsidR="0074217D">
        <w:rPr>
          <w:lang w:val="en-GB"/>
        </w:rPr>
        <w:fldChar w:fldCharType="begin" w:fldLock="1"/>
      </w:r>
      <w:r w:rsidR="00D574FA">
        <w:rPr>
          <w:lang w:val="en-GB"/>
        </w:rPr>
        <w:instrText>ADDIN CSL_CITATION {"citationItems":[{"id":"ITEM-1","itemData":{"DOI":"10.1016/j.compedu.2018.12.006","ISSN":"03601315","abstract":"Finding a solution to the problem of student retention is an often-required task across Higher Education. Most often managers and academics alike rely on intuition and experience to identify the potential risk students and factors. This paper examines the literature surrounding current methods and measures in use in Learning Analytics. We find that while tools are available, they do not focus on earliest possible identification of struggling students. Our work defines a new descriptive statistic for student attendance and applies modern machine learning tools and techniques to create a predictive model. We demonstrate how students can be identified as early as week 3 (of the Fall semester) with approximately 97% accuracy. We, furthermore, situate this result within an appropriate pedagogical context to support its use as part of a more comprehensive student support mechanism.","author":[{"dropping-particle":"","family":"Gray","given":"Cameron C.","non-dropping-particle":"","parse-names":false,"suffix":""},{"dropping-particle":"","family":"Perkins","given":"Dave","non-dropping-particle":"","parse-names":false,"suffix":""}],"container-title":"Computers and Education","id":"ITEM-1","issue":"December 2018","issued":{"date-parts":[["2019"]]},"page":"22-32","publisher":"Elsevier","title":"Utilizing early engagement and machine learning to predict student outcomes","type":"article-journal","volume":"131"},"uris":["http://www.mendeley.com/documents/?uuid=5ec84334-1354-4fae-be7b-4700cc368159"]}],"mendeley":{"formattedCitation":"[37]","plainTextFormattedCitation":"[37]","previouslyFormattedCitation":"[37]"},"properties":{"noteIndex":0},"schema":"https://github.com/citation-style-language/schema/raw/master/csl-citation.json"}</w:instrText>
      </w:r>
      <w:r w:rsidR="0074217D">
        <w:rPr>
          <w:lang w:val="en-GB"/>
        </w:rPr>
        <w:fldChar w:fldCharType="separate"/>
      </w:r>
      <w:r w:rsidR="0074217D" w:rsidRPr="0074217D">
        <w:rPr>
          <w:noProof/>
          <w:lang w:val="en-GB"/>
        </w:rPr>
        <w:t>[37]</w:t>
      </w:r>
      <w:r w:rsidR="0074217D">
        <w:rPr>
          <w:lang w:val="en-GB"/>
        </w:rPr>
        <w:fldChar w:fldCharType="end"/>
      </w:r>
      <w:r>
        <w:rPr>
          <w:lang w:val="en-GB"/>
        </w:rPr>
        <w:t>.</w:t>
      </w:r>
    </w:p>
    <w:p w14:paraId="60CCA5E1" w14:textId="77777777" w:rsidR="00423015" w:rsidRPr="00A3551D" w:rsidRDefault="00423015" w:rsidP="00A33BA2">
      <w:pPr>
        <w:pStyle w:val="BodytextIndented"/>
        <w:tabs>
          <w:tab w:val="left" w:pos="2847"/>
        </w:tabs>
        <w:ind w:firstLine="0"/>
        <w:rPr>
          <w:lang w:val="en-GB"/>
        </w:rPr>
      </w:pPr>
    </w:p>
    <w:p w14:paraId="26049011" w14:textId="77777777" w:rsidR="008406D3" w:rsidRDefault="00DC749C" w:rsidP="00A33BA2">
      <w:pPr>
        <w:pStyle w:val="BodytextIndented"/>
        <w:numPr>
          <w:ilvl w:val="1"/>
          <w:numId w:val="17"/>
        </w:numPr>
        <w:tabs>
          <w:tab w:val="left" w:pos="2847"/>
        </w:tabs>
        <w:ind w:left="426" w:hanging="426"/>
        <w:rPr>
          <w:i/>
          <w:lang w:val="en-GB"/>
        </w:rPr>
      </w:pPr>
      <w:r w:rsidRPr="00DC749C">
        <w:rPr>
          <w:i/>
          <w:lang w:val="en-GB"/>
        </w:rPr>
        <w:t>Berdasarkan Temuan Dasar</w:t>
      </w:r>
    </w:p>
    <w:p w14:paraId="1817A229" w14:textId="77777777" w:rsidR="00DF7CCF" w:rsidRPr="002F68B5" w:rsidRDefault="00675BF6" w:rsidP="00675BF6">
      <w:pPr>
        <w:pStyle w:val="BodytextIndented"/>
        <w:tabs>
          <w:tab w:val="left" w:pos="2847"/>
        </w:tabs>
        <w:ind w:firstLine="426"/>
        <w:rPr>
          <w:lang w:val="en-GB"/>
        </w:rPr>
      </w:pPr>
      <w:r>
        <w:rPr>
          <w:lang w:val="en-GB"/>
        </w:rPr>
        <w:t xml:space="preserve">Berdasarkan temuan dalam beberapa artikel, satu artikel yang menggunakan metode </w:t>
      </w:r>
      <w:r w:rsidR="006600D4">
        <w:rPr>
          <w:i/>
          <w:lang w:val="en-GB"/>
        </w:rPr>
        <w:t xml:space="preserve">Tree Esemble </w:t>
      </w:r>
      <w:r w:rsidR="006600D4">
        <w:rPr>
          <w:lang w:val="en-GB"/>
        </w:rPr>
        <w:t>dan</w:t>
      </w:r>
      <w:r w:rsidR="005E3F53">
        <w:rPr>
          <w:i/>
          <w:lang w:val="en-GB"/>
        </w:rPr>
        <w:t xml:space="preserve"> </w:t>
      </w:r>
      <w:r w:rsidRPr="00675BF6">
        <w:rPr>
          <w:i/>
          <w:lang w:val="en-GB"/>
        </w:rPr>
        <w:t>L</w:t>
      </w:r>
      <w:r w:rsidR="0063358B">
        <w:rPr>
          <w:i/>
          <w:lang w:val="en-GB"/>
        </w:rPr>
        <w:t>inear Regression</w:t>
      </w:r>
      <w:r w:rsidR="0063358B">
        <w:rPr>
          <w:lang w:val="en-GB"/>
        </w:rPr>
        <w:t>,</w:t>
      </w:r>
      <w:r w:rsidR="00F01462">
        <w:rPr>
          <w:lang w:val="en-GB"/>
        </w:rPr>
        <w:t xml:space="preserve"> satu dari lima artikel yang menggunakan metode </w:t>
      </w:r>
      <w:r w:rsidR="00F01462" w:rsidRPr="00F01462">
        <w:rPr>
          <w:i/>
          <w:lang w:val="en-GB"/>
        </w:rPr>
        <w:t>Decision Tree</w:t>
      </w:r>
      <w:r w:rsidR="00F01462">
        <w:rPr>
          <w:lang w:val="en-GB"/>
        </w:rPr>
        <w:t xml:space="preserve"> dan </w:t>
      </w:r>
      <w:r w:rsidR="00F01462" w:rsidRPr="00F01462">
        <w:rPr>
          <w:i/>
          <w:lang w:val="en-GB"/>
        </w:rPr>
        <w:t>Random Forest</w:t>
      </w:r>
      <w:r w:rsidR="00F01462">
        <w:rPr>
          <w:lang w:val="en-GB"/>
        </w:rPr>
        <w:t>,</w:t>
      </w:r>
      <w:r w:rsidR="0063358B">
        <w:rPr>
          <w:lang w:val="en-GB"/>
        </w:rPr>
        <w:t xml:space="preserve"> </w:t>
      </w:r>
      <w:r w:rsidR="005E3F53">
        <w:rPr>
          <w:lang w:val="en-GB"/>
        </w:rPr>
        <w:t xml:space="preserve">dan </w:t>
      </w:r>
      <w:r w:rsidR="0063358B">
        <w:rPr>
          <w:lang w:val="en-GB"/>
        </w:rPr>
        <w:t xml:space="preserve">satu dari </w:t>
      </w:r>
      <w:r w:rsidR="006600D4">
        <w:rPr>
          <w:lang w:val="en-GB"/>
        </w:rPr>
        <w:t>tiga</w:t>
      </w:r>
      <w:r w:rsidR="0063358B">
        <w:rPr>
          <w:lang w:val="en-GB"/>
        </w:rPr>
        <w:t xml:space="preserve"> artikel yang menggunakan metode </w:t>
      </w:r>
      <w:r w:rsidRPr="00675BF6">
        <w:rPr>
          <w:i/>
          <w:lang w:val="en-GB"/>
        </w:rPr>
        <w:t xml:space="preserve">Logistic Regression, Naïve </w:t>
      </w:r>
      <w:r w:rsidR="005E3F53">
        <w:rPr>
          <w:i/>
          <w:lang w:val="en-GB"/>
        </w:rPr>
        <w:t xml:space="preserve">Bayes, </w:t>
      </w:r>
      <w:r w:rsidRPr="00675BF6">
        <w:rPr>
          <w:i/>
          <w:lang w:val="en-GB"/>
        </w:rPr>
        <w:t>Artificial Neural Network</w:t>
      </w:r>
      <w:r w:rsidR="005E3F53">
        <w:rPr>
          <w:lang w:val="en-GB"/>
        </w:rPr>
        <w:t xml:space="preserve"> memberikan hasil yang negatif</w:t>
      </w:r>
      <w:r w:rsidR="003A0DF4">
        <w:rPr>
          <w:lang w:val="en-GB"/>
        </w:rPr>
        <w:t>.</w:t>
      </w:r>
      <w:r w:rsidR="005E3F53">
        <w:rPr>
          <w:i/>
          <w:lang w:val="en-GB"/>
        </w:rPr>
        <w:t>.</w:t>
      </w:r>
    </w:p>
    <w:p w14:paraId="5DB4CB65" w14:textId="77777777" w:rsidR="00D574FA" w:rsidRDefault="00892218" w:rsidP="00892218">
      <w:pPr>
        <w:pStyle w:val="BodytextIndented"/>
        <w:tabs>
          <w:tab w:val="left" w:pos="2847"/>
        </w:tabs>
        <w:ind w:left="426" w:firstLine="0"/>
        <w:jc w:val="center"/>
        <w:rPr>
          <w:lang w:val="en-GB"/>
        </w:rPr>
      </w:pPr>
      <w:r>
        <w:rPr>
          <w:noProof/>
        </w:rPr>
        <w:lastRenderedPageBreak/>
        <w:drawing>
          <wp:inline distT="0" distB="0" distL="0" distR="0" wp14:anchorId="43AD9314" wp14:editId="74F0311E">
            <wp:extent cx="4581525" cy="55530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BEBCCFC" w14:textId="77777777" w:rsidR="00892218" w:rsidRDefault="00892218" w:rsidP="00892218">
      <w:pPr>
        <w:pStyle w:val="FigureCaption"/>
        <w:spacing w:before="120"/>
        <w:rPr>
          <w:rFonts w:ascii="Times New Roman" w:hAnsi="Times New Roman"/>
        </w:rPr>
      </w:pPr>
      <w:r>
        <w:rPr>
          <w:rFonts w:ascii="Times New Roman" w:hAnsi="Times New Roman"/>
          <w:b/>
        </w:rPr>
        <w:t>Figure 5</w:t>
      </w:r>
      <w:r w:rsidRPr="00CE57CF">
        <w:rPr>
          <w:rFonts w:ascii="Times New Roman" w:hAnsi="Times New Roman"/>
          <w:b/>
        </w:rPr>
        <w:t xml:space="preserve">. </w:t>
      </w:r>
      <w:r>
        <w:rPr>
          <w:rFonts w:ascii="Times New Roman" w:hAnsi="Times New Roman"/>
        </w:rPr>
        <w:t xml:space="preserve">Article Based on </w:t>
      </w:r>
      <w:r w:rsidR="00EC4661">
        <w:rPr>
          <w:rFonts w:ascii="Times New Roman" w:hAnsi="Times New Roman"/>
        </w:rPr>
        <w:t>Basic Findings</w:t>
      </w:r>
    </w:p>
    <w:p w14:paraId="2023E3F3" w14:textId="77777777" w:rsidR="00892218" w:rsidRPr="000A057E" w:rsidRDefault="00892218" w:rsidP="00892218">
      <w:pPr>
        <w:pStyle w:val="BodytextIndented"/>
        <w:tabs>
          <w:tab w:val="left" w:pos="2847"/>
        </w:tabs>
        <w:ind w:left="426" w:firstLine="0"/>
        <w:jc w:val="center"/>
        <w:rPr>
          <w:lang w:val="en-GB"/>
        </w:rPr>
      </w:pPr>
    </w:p>
    <w:p w14:paraId="1BEC9342" w14:textId="77777777" w:rsidR="0002752D" w:rsidRDefault="00861A2D" w:rsidP="00CF33A5">
      <w:pPr>
        <w:pStyle w:val="Section"/>
      </w:pPr>
      <w:r>
        <w:t>Kesimpulan</w:t>
      </w:r>
    </w:p>
    <w:p w14:paraId="5DDA045F" w14:textId="77777777" w:rsidR="00E7777B" w:rsidRPr="00F804B4" w:rsidRDefault="00CE52C2" w:rsidP="003638FD">
      <w:pPr>
        <w:pStyle w:val="BodytextIndented"/>
        <w:rPr>
          <w:lang w:val="en-GB"/>
        </w:rPr>
      </w:pPr>
      <w:r w:rsidRPr="00DA09F2">
        <w:t>Hasil penelitian menunjukkan bahwa pembelajaran mesin yang diperoleh dalam pendidikan teknik telah diterapkan di beberapa negara pada jurusan teknik elektro, mekanik, kehutanan, ilmu komputer, teknik kedirgantaraan, matematika dan teknik fisika, dan rekayasa perangkat lunak.</w:t>
      </w:r>
      <w:r w:rsidR="00F20A56">
        <w:t xml:space="preserve"> P</w:t>
      </w:r>
      <w:r w:rsidR="003F6A3B">
        <w:t xml:space="preserve">rediksi </w:t>
      </w:r>
      <w:r w:rsidR="00F20A56">
        <w:t>performa siswa menjadi salah satu konteks yang paling sering dibahas</w:t>
      </w:r>
      <w:r w:rsidR="005C3382">
        <w:t xml:space="preserve">. </w:t>
      </w:r>
      <w:r w:rsidR="00F20A56">
        <w:t>M</w:t>
      </w:r>
      <w:r w:rsidR="005C3382">
        <w:t xml:space="preserve">etode pembelajaran mesin yang paling banyak digunakan adalah </w:t>
      </w:r>
      <w:r w:rsidR="005C3382" w:rsidRPr="005C3382">
        <w:rPr>
          <w:i/>
        </w:rPr>
        <w:t>Decision Tree</w:t>
      </w:r>
      <w:r w:rsidR="005C3382">
        <w:t xml:space="preserve"> dan </w:t>
      </w:r>
      <w:r w:rsidR="005C3382" w:rsidRPr="005C3382">
        <w:rPr>
          <w:i/>
        </w:rPr>
        <w:t>Random Forest</w:t>
      </w:r>
      <w:r w:rsidR="005C3382">
        <w:t xml:space="preserve">. </w:t>
      </w:r>
      <w:r w:rsidRPr="00DA09F2">
        <w:t>Secara umum, pemanfaatan pembelajaran mesin memudahkan seseorang untuk menyelesaikan pekerjaan mereka secara otomatis. Penelitian ini diharapkan dapat menjadi referensi bagi peneliti tentang bagaimana pengembangan pembelajaran mesin dalam Pendidikan Teknik untuk menentukan topik pembelajaran mesin yang dapat diimplementasikan pada Pendidikan Teknis dan Kejuruan dalam penelitian selanjutnya</w:t>
      </w:r>
      <w:r>
        <w:t>.</w:t>
      </w:r>
    </w:p>
    <w:p w14:paraId="0FE68F99" w14:textId="77777777" w:rsidR="0096214D" w:rsidRDefault="0096214D" w:rsidP="0096214D">
      <w:pPr>
        <w:pStyle w:val="BodytextIndented"/>
        <w:rPr>
          <w:lang w:val="en-GB"/>
        </w:rPr>
      </w:pPr>
    </w:p>
    <w:p w14:paraId="1B1FA751" w14:textId="77777777" w:rsidR="00DC38F0" w:rsidRDefault="00DC38F0" w:rsidP="00DC38F0">
      <w:pPr>
        <w:pStyle w:val="Sectionnonumber"/>
      </w:pPr>
      <w:r>
        <w:t>Acknowledgement</w:t>
      </w:r>
    </w:p>
    <w:p w14:paraId="286293E3" w14:textId="77777777" w:rsidR="00DC38F0" w:rsidRPr="0096214D" w:rsidRDefault="00F23E8A" w:rsidP="00DC38F0">
      <w:pPr>
        <w:pStyle w:val="BodytextIndented"/>
        <w:ind w:firstLine="0"/>
        <w:rPr>
          <w:lang w:val="en-GB"/>
        </w:rPr>
      </w:pPr>
      <w:r w:rsidRPr="00F23E8A">
        <w:rPr>
          <w:lang w:val="en-GB"/>
        </w:rPr>
        <w:lastRenderedPageBreak/>
        <w:t>Penulis berterima kasih kepada Prof.</w:t>
      </w:r>
      <w:r>
        <w:rPr>
          <w:lang w:val="en-GB"/>
        </w:rPr>
        <w:t xml:space="preserve"> </w:t>
      </w:r>
      <w:r w:rsidRPr="00F23E8A">
        <w:rPr>
          <w:lang w:val="en-GB"/>
        </w:rPr>
        <w:t>Budi</w:t>
      </w:r>
      <w:r>
        <w:rPr>
          <w:lang w:val="en-GB"/>
        </w:rPr>
        <w:t xml:space="preserve"> Mulyanti</w:t>
      </w:r>
      <w:r w:rsidRPr="00F23E8A">
        <w:rPr>
          <w:lang w:val="en-GB"/>
        </w:rPr>
        <w:t xml:space="preserve"> dan Dr.</w:t>
      </w:r>
      <w:r>
        <w:rPr>
          <w:lang w:val="en-GB"/>
        </w:rPr>
        <w:t xml:space="preserve"> </w:t>
      </w:r>
      <w:r w:rsidRPr="00F23E8A">
        <w:rPr>
          <w:lang w:val="en-GB"/>
        </w:rPr>
        <w:t>Isma</w:t>
      </w:r>
      <w:r>
        <w:rPr>
          <w:lang w:val="en-GB"/>
        </w:rPr>
        <w:t xml:space="preserve"> Wydianti</w:t>
      </w:r>
      <w:r w:rsidRPr="00F23E8A">
        <w:rPr>
          <w:lang w:val="en-GB"/>
        </w:rPr>
        <w:t xml:space="preserve"> yang telah membantu mengoreksi kesalahan-kesalahan yang terdapat dalam penelitian ini.</w:t>
      </w:r>
    </w:p>
    <w:p w14:paraId="68D02D8D" w14:textId="77777777" w:rsidR="009A0487" w:rsidRDefault="00C1748A">
      <w:pPr>
        <w:pStyle w:val="Sectionnonumber"/>
      </w:pPr>
      <w:r>
        <w:t>Referensi</w:t>
      </w:r>
    </w:p>
    <w:p w14:paraId="15705C02" w14:textId="77777777" w:rsidR="00D574FA" w:rsidRPr="00D574FA" w:rsidRDefault="002E7DC4" w:rsidP="00D574FA">
      <w:pPr>
        <w:widowControl w:val="0"/>
        <w:autoSpaceDE w:val="0"/>
        <w:autoSpaceDN w:val="0"/>
        <w:adjustRightInd w:val="0"/>
        <w:ind w:left="640" w:hanging="640"/>
        <w:rPr>
          <w:rFonts w:cs="Times"/>
          <w:noProof/>
          <w:szCs w:val="24"/>
        </w:rPr>
      </w:pPr>
      <w:r>
        <w:fldChar w:fldCharType="begin" w:fldLock="1"/>
      </w:r>
      <w:r>
        <w:instrText xml:space="preserve">ADDIN Mendeley Bibliography CSL_BIBLIOGRAPHY </w:instrText>
      </w:r>
      <w:r>
        <w:fldChar w:fldCharType="separate"/>
      </w:r>
      <w:r w:rsidR="00D574FA" w:rsidRPr="00D574FA">
        <w:rPr>
          <w:rFonts w:cs="Times"/>
          <w:noProof/>
          <w:szCs w:val="24"/>
        </w:rPr>
        <w:t>[1]</w:t>
      </w:r>
      <w:r w:rsidR="00D574FA" w:rsidRPr="00D574FA">
        <w:rPr>
          <w:rFonts w:cs="Times"/>
          <w:noProof/>
          <w:szCs w:val="24"/>
        </w:rPr>
        <w:tab/>
        <w:t xml:space="preserve">C. Birch, “Rethinking Education in the Age of Technology: The Digital Revolution and Schooling in America by Allan Collins and Richard Halverson,” </w:t>
      </w:r>
      <w:r w:rsidR="00D574FA" w:rsidRPr="00D574FA">
        <w:rPr>
          <w:rFonts w:cs="Times"/>
          <w:i/>
          <w:iCs/>
          <w:noProof/>
          <w:szCs w:val="24"/>
        </w:rPr>
        <w:t>Am. J. Educ.</w:t>
      </w:r>
      <w:r w:rsidR="00D574FA" w:rsidRPr="00D574FA">
        <w:rPr>
          <w:rFonts w:cs="Times"/>
          <w:noProof/>
          <w:szCs w:val="24"/>
        </w:rPr>
        <w:t>, vol. 117, no. 3, pp. 433–436, 2011.</w:t>
      </w:r>
    </w:p>
    <w:p w14:paraId="12866DC7"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w:t>
      </w:r>
      <w:r w:rsidRPr="00D574FA">
        <w:rPr>
          <w:rFonts w:cs="Times"/>
          <w:noProof/>
          <w:szCs w:val="24"/>
        </w:rPr>
        <w:tab/>
        <w:t>A. Larasati, A. Miftahul Hajji, and A. N. Handayani, “Preferences Analysis of Engineering Students on Choosing Learning Media using Support Vector Machine (SVM) Model,” vol. 242, no. Icovet 2018, pp. 57–59, 2019.</w:t>
      </w:r>
    </w:p>
    <w:p w14:paraId="4A2E35D9"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w:t>
      </w:r>
      <w:r w:rsidRPr="00D574FA">
        <w:rPr>
          <w:rFonts w:cs="Times"/>
          <w:noProof/>
          <w:szCs w:val="24"/>
        </w:rPr>
        <w:tab/>
        <w:t xml:space="preserve">J. Xu, K. H. Moon, and M. Van Der Schaar, “A Machine Learning Approach for Tracking and Predicting Student Performance in Degree Programs,” </w:t>
      </w:r>
      <w:r w:rsidRPr="00D574FA">
        <w:rPr>
          <w:rFonts w:cs="Times"/>
          <w:i/>
          <w:iCs/>
          <w:noProof/>
          <w:szCs w:val="24"/>
        </w:rPr>
        <w:t>IEEE J. Sel. Top. Signal Process.</w:t>
      </w:r>
      <w:r w:rsidRPr="00D574FA">
        <w:rPr>
          <w:rFonts w:cs="Times"/>
          <w:noProof/>
          <w:szCs w:val="24"/>
        </w:rPr>
        <w:t>, vol. 11, no. 5, pp. 742–753, 2017.</w:t>
      </w:r>
    </w:p>
    <w:p w14:paraId="69D49567"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[4]</w:t>
      </w:r>
      <w:r w:rsidRPr="00D574FA">
        <w:rPr>
          <w:rFonts w:cs="Times"/>
          <w:noProof/>
          <w:szCs w:val="24"/>
        </w:rPr>
        <w:tab/>
        <w:t xml:space="preserve">V. L. Uskov, J. P. Bakken, A. Byerly, and A. Shah, “Machine learning-based predictive analytics of student academic performance in STEM education,” </w:t>
      </w:r>
      <w:r w:rsidRPr="00D574FA">
        <w:rPr>
          <w:rFonts w:cs="Times"/>
          <w:i/>
          <w:iCs/>
          <w:noProof/>
          <w:szCs w:val="24"/>
        </w:rPr>
        <w:t>IEEE Glob. Eng. Educ. Conf. EDUCON</w:t>
      </w:r>
      <w:r w:rsidRPr="00D574FA">
        <w:rPr>
          <w:rFonts w:cs="Times"/>
          <w:noProof/>
          <w:szCs w:val="24"/>
        </w:rPr>
        <w:t>, vol. April-2019, pp. 1370–1376, 2019.</w:t>
      </w:r>
    </w:p>
    <w:p w14:paraId="1B748CE0"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[5]</w:t>
      </w:r>
      <w:r w:rsidRPr="00D574FA">
        <w:rPr>
          <w:rFonts w:cs="Times"/>
          <w:noProof/>
          <w:szCs w:val="24"/>
        </w:rPr>
        <w:tab/>
        <w:t xml:space="preserve">K. Chrysafiadi and M. Virvou, “Student modeling approaches: A literature review for the last decade,” </w:t>
      </w:r>
      <w:r w:rsidRPr="00D574FA">
        <w:rPr>
          <w:rFonts w:cs="Times"/>
          <w:i/>
          <w:iCs/>
          <w:noProof/>
          <w:szCs w:val="24"/>
        </w:rPr>
        <w:t>Expert Syst. Appl.</w:t>
      </w:r>
      <w:r w:rsidRPr="00D574FA">
        <w:rPr>
          <w:rFonts w:cs="Times"/>
          <w:noProof/>
          <w:szCs w:val="24"/>
        </w:rPr>
        <w:t>, vol. 40, no. 11, pp. 4715–4729, 2013.</w:t>
      </w:r>
    </w:p>
    <w:p w14:paraId="614D3BE6"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[6]</w:t>
      </w:r>
      <w:r w:rsidRPr="00D574FA">
        <w:rPr>
          <w:rFonts w:cs="Times"/>
          <w:noProof/>
          <w:szCs w:val="24"/>
        </w:rPr>
        <w:tab/>
        <w:t xml:space="preserve">F. Dalipi, A. S. Imran, and Z. Kastrati, “MOOC dropout prediction using machine learning techniques: Review and research challenges,” </w:t>
      </w:r>
      <w:r w:rsidRPr="00D574FA">
        <w:rPr>
          <w:rFonts w:cs="Times"/>
          <w:i/>
          <w:iCs/>
          <w:noProof/>
          <w:szCs w:val="24"/>
        </w:rPr>
        <w:t>IEEE Glob. Eng. Educ. Conf. EDUCON</w:t>
      </w:r>
      <w:r w:rsidRPr="00D574FA">
        <w:rPr>
          <w:rFonts w:cs="Times"/>
          <w:noProof/>
          <w:szCs w:val="24"/>
        </w:rPr>
        <w:t>, vol. 2018-April, pp. 1007–1014, 2018.</w:t>
      </w:r>
    </w:p>
    <w:p w14:paraId="6AFFCE2E"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[7]</w:t>
      </w:r>
      <w:r w:rsidRPr="00D574FA">
        <w:rPr>
          <w:rFonts w:cs="Times"/>
          <w:noProof/>
          <w:szCs w:val="24"/>
        </w:rPr>
        <w:tab/>
        <w:t xml:space="preserve">D. Buenaño-Fernandez, W. Villegas-CH, and S. Luján-Mora, “The use of tools of data mining to decision making in engineering education—A systematic mapping study,” </w:t>
      </w:r>
      <w:r w:rsidRPr="00D574FA">
        <w:rPr>
          <w:rFonts w:cs="Times"/>
          <w:i/>
          <w:iCs/>
          <w:noProof/>
          <w:szCs w:val="24"/>
        </w:rPr>
        <w:t>Comput. Appl. Eng. Educ.</w:t>
      </w:r>
      <w:r w:rsidRPr="00D574FA">
        <w:rPr>
          <w:rFonts w:cs="Times"/>
          <w:noProof/>
          <w:szCs w:val="24"/>
        </w:rPr>
        <w:t>, vol. 27, no. 3, pp. 744–758, 2019.</w:t>
      </w:r>
    </w:p>
    <w:p w14:paraId="72959C91"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[8]</w:t>
      </w:r>
      <w:r w:rsidRPr="00D574FA">
        <w:rPr>
          <w:rFonts w:cs="Times"/>
          <w:noProof/>
          <w:szCs w:val="24"/>
        </w:rPr>
        <w:tab/>
        <w:t xml:space="preserve">C. A. Bacos, </w:t>
      </w:r>
      <w:r w:rsidRPr="00D574FA">
        <w:rPr>
          <w:rFonts w:cs="Times"/>
          <w:i/>
          <w:iCs/>
          <w:noProof/>
          <w:szCs w:val="24"/>
        </w:rPr>
        <w:t>Machine Learning and Education in the Human Age: A Review of Emerging Technologies</w:t>
      </w:r>
      <w:r w:rsidRPr="00D574FA">
        <w:rPr>
          <w:rFonts w:cs="Times"/>
          <w:noProof/>
          <w:szCs w:val="24"/>
        </w:rPr>
        <w:t>. Springer International Publishing, 2018.</w:t>
      </w:r>
    </w:p>
    <w:p w14:paraId="70A44934"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[9]</w:t>
      </w:r>
      <w:r w:rsidRPr="00D574FA">
        <w:rPr>
          <w:rFonts w:cs="Times"/>
          <w:noProof/>
          <w:szCs w:val="24"/>
        </w:rPr>
        <w:tab/>
        <w:t xml:space="preserve">F. Lau and C. Kuziemsky, “Chapter 9 Methods for Literature Reviews,” in </w:t>
      </w:r>
      <w:r w:rsidRPr="00D574FA">
        <w:rPr>
          <w:rFonts w:cs="Times"/>
          <w:i/>
          <w:iCs/>
          <w:noProof/>
          <w:szCs w:val="24"/>
        </w:rPr>
        <w:t>Handbook of eHealth Evaluation: An Evidence-based Approach [Internet].</w:t>
      </w:r>
      <w:r w:rsidRPr="00D574FA">
        <w:rPr>
          <w:rFonts w:cs="Times"/>
          <w:noProof/>
          <w:szCs w:val="24"/>
        </w:rPr>
        <w:t>, F. L. and C. Kuziemsky, Ed. Canada: University of Victoria, 2016.</w:t>
      </w:r>
    </w:p>
    <w:p w14:paraId="69994AB2"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[10]</w:t>
      </w:r>
      <w:r w:rsidRPr="00D574FA">
        <w:rPr>
          <w:rFonts w:cs="Times"/>
          <w:noProof/>
          <w:szCs w:val="24"/>
        </w:rPr>
        <w:tab/>
        <w:t>Scimago Jr, “Scimago Journal &amp; Country Rank.” [Online]. Available: https://www.scimagojr.com/.</w:t>
      </w:r>
    </w:p>
    <w:p w14:paraId="38D383C7"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[11]</w:t>
      </w:r>
      <w:r w:rsidRPr="00D574FA">
        <w:rPr>
          <w:rFonts w:cs="Times"/>
          <w:noProof/>
          <w:szCs w:val="24"/>
        </w:rPr>
        <w:tab/>
        <w:t xml:space="preserve">R. Raga and J. Raga, “Early Prediction of Student Performance in Blended Learning Courses Using Deep Neural Networks,” </w:t>
      </w:r>
      <w:r w:rsidRPr="00D574FA">
        <w:rPr>
          <w:rFonts w:cs="Times"/>
          <w:i/>
          <w:iCs/>
          <w:noProof/>
          <w:szCs w:val="24"/>
        </w:rPr>
        <w:t>2019 Int. Symp. Educ. Technol.</w:t>
      </w:r>
      <w:r w:rsidRPr="00D574FA">
        <w:rPr>
          <w:rFonts w:cs="Times"/>
          <w:noProof/>
          <w:szCs w:val="24"/>
        </w:rPr>
        <w:t>, pp. 39–43, 2019.</w:t>
      </w:r>
    </w:p>
    <w:p w14:paraId="25733F76"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[12]</w:t>
      </w:r>
      <w:r w:rsidRPr="00D574FA">
        <w:rPr>
          <w:rFonts w:cs="Times"/>
          <w:noProof/>
          <w:szCs w:val="24"/>
        </w:rPr>
        <w:tab/>
        <w:t xml:space="preserve">P. Maguire, R. Maguire, and R. Kelly, “Using automatic machine assessment to teach computer programming,” </w:t>
      </w:r>
      <w:r w:rsidRPr="00D574FA">
        <w:rPr>
          <w:rFonts w:cs="Times"/>
          <w:i/>
          <w:iCs/>
          <w:noProof/>
          <w:szCs w:val="24"/>
        </w:rPr>
        <w:t>Comput. Sci. Educ.</w:t>
      </w:r>
      <w:r w:rsidRPr="00D574FA">
        <w:rPr>
          <w:rFonts w:cs="Times"/>
          <w:noProof/>
          <w:szCs w:val="24"/>
        </w:rPr>
        <w:t>, vol. 27, no. 3–4, pp. 197–214, 2017.</w:t>
      </w:r>
    </w:p>
    <w:p w14:paraId="5156675C"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[13]</w:t>
      </w:r>
      <w:r w:rsidRPr="00D574FA">
        <w:rPr>
          <w:rFonts w:cs="Times"/>
          <w:noProof/>
          <w:szCs w:val="24"/>
        </w:rPr>
        <w:tab/>
        <w:t xml:space="preserve">A. Pardo, F. Han, and R. A. Ellis, “Combining University student self-regulated learning indicators and engagement with online learning events to Predict Academic Performance,” </w:t>
      </w:r>
      <w:r w:rsidRPr="00D574FA">
        <w:rPr>
          <w:rFonts w:cs="Times"/>
          <w:i/>
          <w:iCs/>
          <w:noProof/>
          <w:szCs w:val="24"/>
        </w:rPr>
        <w:t>IEEE Trans. Learn. Technol.</w:t>
      </w:r>
      <w:r w:rsidRPr="00D574FA">
        <w:rPr>
          <w:rFonts w:cs="Times"/>
          <w:noProof/>
          <w:szCs w:val="24"/>
        </w:rPr>
        <w:t>, vol. 10, no. 1, pp. 82–92, 2017.</w:t>
      </w:r>
    </w:p>
    <w:p w14:paraId="7AC817EC"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[14]</w:t>
      </w:r>
      <w:r w:rsidRPr="00D574FA">
        <w:rPr>
          <w:rFonts w:cs="Times"/>
          <w:noProof/>
          <w:szCs w:val="24"/>
        </w:rPr>
        <w:tab/>
        <w:t xml:space="preserve">A. Zollanvari, R. C. Kizilirmak, Y. H. Kho, and D. Hernandez-Torrano, “Predicting Students’ GPA and Developing Intervention Strategies Based on Self-Regulatory Learning Behaviors,” </w:t>
      </w:r>
      <w:r w:rsidRPr="00D574FA">
        <w:rPr>
          <w:rFonts w:cs="Times"/>
          <w:i/>
          <w:iCs/>
          <w:noProof/>
          <w:szCs w:val="24"/>
        </w:rPr>
        <w:t>IEEE Access</w:t>
      </w:r>
      <w:r w:rsidRPr="00D574FA">
        <w:rPr>
          <w:rFonts w:cs="Times"/>
          <w:noProof/>
          <w:szCs w:val="24"/>
        </w:rPr>
        <w:t>, vol. 5, pp. 23792–23802, 2017.</w:t>
      </w:r>
    </w:p>
    <w:p w14:paraId="694AC154"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[15]</w:t>
      </w:r>
      <w:r w:rsidRPr="00D574FA">
        <w:rPr>
          <w:rFonts w:cs="Times"/>
          <w:noProof/>
          <w:szCs w:val="24"/>
        </w:rPr>
        <w:tab/>
        <w:t xml:space="preserve">T. D. Ullmann, “Automated Analysis of Reflection in Writing: Validating Machine Learning Approaches,” </w:t>
      </w:r>
      <w:r w:rsidRPr="00D574FA">
        <w:rPr>
          <w:rFonts w:cs="Times"/>
          <w:i/>
          <w:iCs/>
          <w:noProof/>
          <w:szCs w:val="24"/>
        </w:rPr>
        <w:t>Int. J. Artif. Intell. Educ.</w:t>
      </w:r>
      <w:r w:rsidRPr="00D574FA">
        <w:rPr>
          <w:rFonts w:cs="Times"/>
          <w:noProof/>
          <w:szCs w:val="24"/>
        </w:rPr>
        <w:t>, vol. 29, no. 2, pp. 217–257, 2019.</w:t>
      </w:r>
    </w:p>
    <w:p w14:paraId="73E79272"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[16]</w:t>
      </w:r>
      <w:r w:rsidRPr="00D574FA">
        <w:rPr>
          <w:rFonts w:cs="Times"/>
          <w:noProof/>
          <w:szCs w:val="24"/>
        </w:rPr>
        <w:tab/>
        <w:t xml:space="preserve">D. Riofrío-Luzcando, J. Ramírez, and M. Berrocal-Lobo, “Predicting student actions in a procedural training environment,” </w:t>
      </w:r>
      <w:r w:rsidRPr="00D574FA">
        <w:rPr>
          <w:rFonts w:cs="Times"/>
          <w:i/>
          <w:iCs/>
          <w:noProof/>
          <w:szCs w:val="24"/>
        </w:rPr>
        <w:t>IEEE Trans. Learn. Technol.</w:t>
      </w:r>
      <w:r w:rsidRPr="00D574FA">
        <w:rPr>
          <w:rFonts w:cs="Times"/>
          <w:noProof/>
          <w:szCs w:val="24"/>
        </w:rPr>
        <w:t>, vol. 10, no. 4, pp. 463–474, 2017.</w:t>
      </w:r>
    </w:p>
    <w:p w14:paraId="15EA24F0"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[17]</w:t>
      </w:r>
      <w:r w:rsidRPr="00D574FA">
        <w:rPr>
          <w:rFonts w:cs="Times"/>
          <w:noProof/>
          <w:szCs w:val="24"/>
        </w:rPr>
        <w:tab/>
        <w:t xml:space="preserve">M. Liu, Y. Wang, W. Xu, and L. Liu, “Automated scoring of Chinese engineering students’ english essays,” </w:t>
      </w:r>
      <w:r w:rsidRPr="00D574FA">
        <w:rPr>
          <w:rFonts w:cs="Times"/>
          <w:i/>
          <w:iCs/>
          <w:noProof/>
          <w:szCs w:val="24"/>
        </w:rPr>
        <w:t>Int. J. Distance Educ. Technol.</w:t>
      </w:r>
      <w:r w:rsidRPr="00D574FA">
        <w:rPr>
          <w:rFonts w:cs="Times"/>
          <w:noProof/>
          <w:szCs w:val="24"/>
        </w:rPr>
        <w:t>, vol. 15, no. 1, pp. 52–68, 2017.</w:t>
      </w:r>
    </w:p>
    <w:p w14:paraId="5297D90A"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[18]</w:t>
      </w:r>
      <w:r w:rsidRPr="00D574FA">
        <w:rPr>
          <w:rFonts w:cs="Times"/>
          <w:noProof/>
          <w:szCs w:val="24"/>
        </w:rPr>
        <w:tab/>
        <w:t xml:space="preserve">A. Singh, “Mining of Social Media data of University students,” </w:t>
      </w:r>
      <w:r w:rsidRPr="00D574FA">
        <w:rPr>
          <w:rFonts w:cs="Times"/>
          <w:i/>
          <w:iCs/>
          <w:noProof/>
          <w:szCs w:val="24"/>
        </w:rPr>
        <w:t>Educ. Inf. Technol.</w:t>
      </w:r>
      <w:r w:rsidRPr="00D574FA">
        <w:rPr>
          <w:rFonts w:cs="Times"/>
          <w:noProof/>
          <w:szCs w:val="24"/>
        </w:rPr>
        <w:t>, vol. 22, no. 4, pp. 1515–1526, 2017.</w:t>
      </w:r>
    </w:p>
    <w:p w14:paraId="266E23E9"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[19]</w:t>
      </w:r>
      <w:r w:rsidRPr="00D574FA">
        <w:rPr>
          <w:rFonts w:cs="Times"/>
          <w:noProof/>
          <w:szCs w:val="24"/>
        </w:rPr>
        <w:tab/>
        <w:t xml:space="preserve">A. Yağci and M. Çevik, “Prediction of academic achievements of vocational and technical high </w:t>
      </w:r>
      <w:r w:rsidRPr="00D574FA">
        <w:rPr>
          <w:rFonts w:cs="Times"/>
          <w:noProof/>
          <w:szCs w:val="24"/>
        </w:rPr>
        <w:lastRenderedPageBreak/>
        <w:t xml:space="preserve">school (VTS) students in science courses through artificial neural networks (comparison of Turkey and Malaysia),” </w:t>
      </w:r>
      <w:r w:rsidRPr="00D574FA">
        <w:rPr>
          <w:rFonts w:cs="Times"/>
          <w:i/>
          <w:iCs/>
          <w:noProof/>
          <w:szCs w:val="24"/>
        </w:rPr>
        <w:t>Educ. Inf. Technol.</w:t>
      </w:r>
      <w:r w:rsidRPr="00D574FA">
        <w:rPr>
          <w:rFonts w:cs="Times"/>
          <w:noProof/>
          <w:szCs w:val="24"/>
        </w:rPr>
        <w:t>, 2019.</w:t>
      </w:r>
    </w:p>
    <w:p w14:paraId="6A645BDD"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[20]</w:t>
      </w:r>
      <w:r w:rsidRPr="00D574FA">
        <w:rPr>
          <w:rFonts w:cs="Times"/>
          <w:noProof/>
          <w:szCs w:val="24"/>
        </w:rPr>
        <w:tab/>
        <w:t xml:space="preserve">Y. Nieto, V. García-Díaz, C. Montenegro, and R. G. Crespo, “Supporting academic decision making at higher educational institutions using machine learning-based algorithms,” </w:t>
      </w:r>
      <w:r w:rsidRPr="00D574FA">
        <w:rPr>
          <w:rFonts w:cs="Times"/>
          <w:i/>
          <w:iCs/>
          <w:noProof/>
          <w:szCs w:val="24"/>
        </w:rPr>
        <w:t>Soft Comput.</w:t>
      </w:r>
      <w:r w:rsidRPr="00D574FA">
        <w:rPr>
          <w:rFonts w:cs="Times"/>
          <w:noProof/>
          <w:szCs w:val="24"/>
        </w:rPr>
        <w:t>, vol. 23, no. 12, pp. 4145–4153, 2019.</w:t>
      </w:r>
    </w:p>
    <w:p w14:paraId="27250C4C"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[21]</w:t>
      </w:r>
      <w:r w:rsidRPr="00D574FA">
        <w:rPr>
          <w:rFonts w:cs="Times"/>
          <w:noProof/>
          <w:szCs w:val="24"/>
        </w:rPr>
        <w:tab/>
        <w:t xml:space="preserve">D. Spikol, E. Ruffaldi, G. Dabisias, and M. Cukurova, “Supervised machine learning in multimodal learning analytics for estimating success in project-based learning,” </w:t>
      </w:r>
      <w:r w:rsidRPr="00D574FA">
        <w:rPr>
          <w:rFonts w:cs="Times"/>
          <w:i/>
          <w:iCs/>
          <w:noProof/>
          <w:szCs w:val="24"/>
        </w:rPr>
        <w:t>J. Comput. Assist. Learn.</w:t>
      </w:r>
      <w:r w:rsidRPr="00D574FA">
        <w:rPr>
          <w:rFonts w:cs="Times"/>
          <w:noProof/>
          <w:szCs w:val="24"/>
        </w:rPr>
        <w:t>, vol. 34, no. 4, pp. 366–377, 2018.</w:t>
      </w:r>
    </w:p>
    <w:p w14:paraId="53557F5F"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[22]</w:t>
      </w:r>
      <w:r w:rsidRPr="00D574FA">
        <w:rPr>
          <w:rFonts w:cs="Times"/>
          <w:noProof/>
          <w:szCs w:val="24"/>
        </w:rPr>
        <w:tab/>
        <w:t xml:space="preserve">M. Mimis, M. El Hajji, Y. Es-saady, A. Oueld Guejdi, H. Douzi, and D. Mammass, “A framework for smart academic guidance using educational data mining,” </w:t>
      </w:r>
      <w:r w:rsidRPr="00D574FA">
        <w:rPr>
          <w:rFonts w:cs="Times"/>
          <w:i/>
          <w:iCs/>
          <w:noProof/>
          <w:szCs w:val="24"/>
        </w:rPr>
        <w:t>Educ. Inf. Technol.</w:t>
      </w:r>
      <w:r w:rsidRPr="00D574FA">
        <w:rPr>
          <w:rFonts w:cs="Times"/>
          <w:noProof/>
          <w:szCs w:val="24"/>
        </w:rPr>
        <w:t>, vol. 24, no. 2, pp. 1379–1393, 2019.</w:t>
      </w:r>
    </w:p>
    <w:p w14:paraId="12044F75"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[23]</w:t>
      </w:r>
      <w:r w:rsidRPr="00D574FA">
        <w:rPr>
          <w:rFonts w:cs="Times"/>
          <w:noProof/>
          <w:szCs w:val="24"/>
        </w:rPr>
        <w:tab/>
        <w:t xml:space="preserve">M. S. Iqbal and B. Luo, “Prediction of educational institution using predictive analytic techniques,” </w:t>
      </w:r>
      <w:r w:rsidRPr="00D574FA">
        <w:rPr>
          <w:rFonts w:cs="Times"/>
          <w:i/>
          <w:iCs/>
          <w:noProof/>
          <w:szCs w:val="24"/>
        </w:rPr>
        <w:t>Educ. Inf. Technol.</w:t>
      </w:r>
      <w:r w:rsidRPr="00D574FA">
        <w:rPr>
          <w:rFonts w:cs="Times"/>
          <w:noProof/>
          <w:szCs w:val="24"/>
        </w:rPr>
        <w:t>, vol. 24, no. 2, pp. 1469–1483, 2019.</w:t>
      </w:r>
    </w:p>
    <w:p w14:paraId="4A68FD37"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[24]</w:t>
      </w:r>
      <w:r w:rsidRPr="00D574FA">
        <w:rPr>
          <w:rFonts w:cs="Times"/>
          <w:noProof/>
          <w:szCs w:val="24"/>
        </w:rPr>
        <w:tab/>
        <w:t xml:space="preserve">A. I. Adekitan and E. Noma-Osaghae, “Data mining approach to predicting the performance of first year student in a university using the admission requirements,” </w:t>
      </w:r>
      <w:r w:rsidRPr="00D574FA">
        <w:rPr>
          <w:rFonts w:cs="Times"/>
          <w:i/>
          <w:iCs/>
          <w:noProof/>
          <w:szCs w:val="24"/>
        </w:rPr>
        <w:t>Educ. Inf. Technol.</w:t>
      </w:r>
      <w:r w:rsidRPr="00D574FA">
        <w:rPr>
          <w:rFonts w:cs="Times"/>
          <w:noProof/>
          <w:szCs w:val="24"/>
        </w:rPr>
        <w:t>, vol. 24, no. 2, pp. 1527–1543, 2019.</w:t>
      </w:r>
    </w:p>
    <w:p w14:paraId="38C70C49"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[25]</w:t>
      </w:r>
      <w:r w:rsidRPr="00D574FA">
        <w:rPr>
          <w:rFonts w:cs="Times"/>
          <w:noProof/>
          <w:szCs w:val="24"/>
        </w:rPr>
        <w:tab/>
        <w:t xml:space="preserve">K. Sreenivasa Rao, N. Swapna, and P. Praveen Kumar, “Educational data mining for student placement prediction using machine learning algorithms,” </w:t>
      </w:r>
      <w:r w:rsidRPr="00D574FA">
        <w:rPr>
          <w:rFonts w:cs="Times"/>
          <w:i/>
          <w:iCs/>
          <w:noProof/>
          <w:szCs w:val="24"/>
        </w:rPr>
        <w:t>Int. J. Eng. Technol.</w:t>
      </w:r>
      <w:r w:rsidRPr="00D574FA">
        <w:rPr>
          <w:rFonts w:cs="Times"/>
          <w:noProof/>
          <w:szCs w:val="24"/>
        </w:rPr>
        <w:t>, vol. 7, no. 1.2, p. 43, 2017.</w:t>
      </w:r>
    </w:p>
    <w:p w14:paraId="472F162D"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[26]</w:t>
      </w:r>
      <w:r w:rsidRPr="00D574FA">
        <w:rPr>
          <w:rFonts w:cs="Times"/>
          <w:noProof/>
          <w:szCs w:val="24"/>
        </w:rPr>
        <w:tab/>
        <w:t xml:space="preserve">D. Buenaño-Fernández, D. Gil, and S. Luján-Mora, “Application of machine learning in predicting performance for computer engineering students: A case study,” </w:t>
      </w:r>
      <w:r w:rsidRPr="00D574FA">
        <w:rPr>
          <w:rFonts w:cs="Times"/>
          <w:i/>
          <w:iCs/>
          <w:noProof/>
          <w:szCs w:val="24"/>
        </w:rPr>
        <w:t>Sustain.</w:t>
      </w:r>
      <w:r w:rsidRPr="00D574FA">
        <w:rPr>
          <w:rFonts w:cs="Times"/>
          <w:noProof/>
          <w:szCs w:val="24"/>
        </w:rPr>
        <w:t>, vol. 11, no. 10, pp. 1–18, 2019.</w:t>
      </w:r>
    </w:p>
    <w:p w14:paraId="74728506"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[27]</w:t>
      </w:r>
      <w:r w:rsidRPr="00D574FA">
        <w:rPr>
          <w:rFonts w:cs="Times"/>
          <w:noProof/>
          <w:szCs w:val="24"/>
        </w:rPr>
        <w:tab/>
        <w:t xml:space="preserve">R. Fiebrink, “Machine learning education for artists, musicians, and other creative practitioners,” </w:t>
      </w:r>
      <w:r w:rsidRPr="00D574FA">
        <w:rPr>
          <w:rFonts w:cs="Times"/>
          <w:i/>
          <w:iCs/>
          <w:noProof/>
          <w:szCs w:val="24"/>
        </w:rPr>
        <w:t>ACM Trans. Comput. Educ.</w:t>
      </w:r>
      <w:r w:rsidRPr="00D574FA">
        <w:rPr>
          <w:rFonts w:cs="Times"/>
          <w:noProof/>
          <w:szCs w:val="24"/>
        </w:rPr>
        <w:t>, vol. 19, no. 4, 2019.</w:t>
      </w:r>
    </w:p>
    <w:p w14:paraId="68663EB9"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[28]</w:t>
      </w:r>
      <w:r w:rsidRPr="00D574FA">
        <w:rPr>
          <w:rFonts w:cs="Times"/>
          <w:noProof/>
          <w:szCs w:val="24"/>
        </w:rPr>
        <w:tab/>
        <w:t xml:space="preserve">J. Saltz </w:t>
      </w:r>
      <w:r w:rsidRPr="00D574FA">
        <w:rPr>
          <w:rFonts w:cs="Times"/>
          <w:i/>
          <w:iCs/>
          <w:noProof/>
          <w:szCs w:val="24"/>
        </w:rPr>
        <w:t>et al.</w:t>
      </w:r>
      <w:r w:rsidRPr="00D574FA">
        <w:rPr>
          <w:rFonts w:cs="Times"/>
          <w:noProof/>
          <w:szCs w:val="24"/>
        </w:rPr>
        <w:t xml:space="preserve">, “Integrating ethics within machine learning courses,” </w:t>
      </w:r>
      <w:r w:rsidRPr="00D574FA">
        <w:rPr>
          <w:rFonts w:cs="Times"/>
          <w:i/>
          <w:iCs/>
          <w:noProof/>
          <w:szCs w:val="24"/>
        </w:rPr>
        <w:t>ACM Trans. Comput. Educ.</w:t>
      </w:r>
      <w:r w:rsidRPr="00D574FA">
        <w:rPr>
          <w:rFonts w:cs="Times"/>
          <w:noProof/>
          <w:szCs w:val="24"/>
        </w:rPr>
        <w:t>, vol. 19, no. 4, 2019.</w:t>
      </w:r>
    </w:p>
    <w:p w14:paraId="35812FAD"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[29]</w:t>
      </w:r>
      <w:r w:rsidRPr="00D574FA">
        <w:rPr>
          <w:rFonts w:cs="Times"/>
          <w:noProof/>
          <w:szCs w:val="24"/>
        </w:rPr>
        <w:tab/>
        <w:t xml:space="preserve">H. Fasihuddin, G. Skinner, and R. Athauda, “Towards adaptive open learning environments: Evaluating the precision of identifying learning styles by tracking learners’ behaviours,” </w:t>
      </w:r>
      <w:r w:rsidRPr="00D574FA">
        <w:rPr>
          <w:rFonts w:cs="Times"/>
          <w:i/>
          <w:iCs/>
          <w:noProof/>
          <w:szCs w:val="24"/>
        </w:rPr>
        <w:t>Educ. Inf. Technol.</w:t>
      </w:r>
      <w:r w:rsidRPr="00D574FA">
        <w:rPr>
          <w:rFonts w:cs="Times"/>
          <w:noProof/>
          <w:szCs w:val="24"/>
        </w:rPr>
        <w:t>, vol. 22, no. 3, pp. 807–825, 2017.</w:t>
      </w:r>
    </w:p>
    <w:p w14:paraId="380ECBFA"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[30]</w:t>
      </w:r>
      <w:r w:rsidRPr="00D574FA">
        <w:rPr>
          <w:rFonts w:cs="Times"/>
          <w:noProof/>
          <w:szCs w:val="24"/>
        </w:rPr>
        <w:tab/>
        <w:t xml:space="preserve">S. M. González-Betancor, A. Bolívar-Cruz, and D. Verano-Tacoronte, “Self-assessment accuracy in higher education: The influence of gender and performance of university students,” </w:t>
      </w:r>
      <w:r w:rsidRPr="00D574FA">
        <w:rPr>
          <w:rFonts w:cs="Times"/>
          <w:i/>
          <w:iCs/>
          <w:noProof/>
          <w:szCs w:val="24"/>
        </w:rPr>
        <w:t>Act. Learn. High. Educ.</w:t>
      </w:r>
      <w:r w:rsidRPr="00D574FA">
        <w:rPr>
          <w:rFonts w:cs="Times"/>
          <w:noProof/>
          <w:szCs w:val="24"/>
        </w:rPr>
        <w:t>, vol. 20, no. 2, pp. 101–114, 2019.</w:t>
      </w:r>
    </w:p>
    <w:p w14:paraId="2AB3FE47"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[31]</w:t>
      </w:r>
      <w:r w:rsidRPr="00D574FA">
        <w:rPr>
          <w:rFonts w:cs="Times"/>
          <w:noProof/>
          <w:szCs w:val="24"/>
        </w:rPr>
        <w:tab/>
        <w:t xml:space="preserve">S. Ikbal, A. Tamhane, B. Sengupta, M. Chetlur, S. Ghosh, and J. Appleton, “On early prediction of risks in academic performance for students,” </w:t>
      </w:r>
      <w:r w:rsidRPr="00D574FA">
        <w:rPr>
          <w:rFonts w:cs="Times"/>
          <w:i/>
          <w:iCs/>
          <w:noProof/>
          <w:szCs w:val="24"/>
        </w:rPr>
        <w:t>IBM J. Res. Dev.</w:t>
      </w:r>
      <w:r w:rsidRPr="00D574FA">
        <w:rPr>
          <w:rFonts w:cs="Times"/>
          <w:noProof/>
          <w:szCs w:val="24"/>
        </w:rPr>
        <w:t>, vol. 59, no. 6, pp. 1–14, 2015.</w:t>
      </w:r>
    </w:p>
    <w:p w14:paraId="562EB612"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[32]</w:t>
      </w:r>
      <w:r w:rsidRPr="00D574FA">
        <w:rPr>
          <w:rFonts w:cs="Times"/>
          <w:noProof/>
          <w:szCs w:val="24"/>
        </w:rPr>
        <w:tab/>
        <w:t xml:space="preserve">N. Gitinabard, Y. Xu, S. Heckman, T. Barnes, and C. F. Lynch, “How Widely Can Prediction Models Be Generalized? Performance Prediction in Blended Courses,” </w:t>
      </w:r>
      <w:r w:rsidRPr="00D574FA">
        <w:rPr>
          <w:rFonts w:cs="Times"/>
          <w:i/>
          <w:iCs/>
          <w:noProof/>
          <w:szCs w:val="24"/>
        </w:rPr>
        <w:t>IEEE Trans. Learn. Technol.</w:t>
      </w:r>
      <w:r w:rsidRPr="00D574FA">
        <w:rPr>
          <w:rFonts w:cs="Times"/>
          <w:noProof/>
          <w:szCs w:val="24"/>
        </w:rPr>
        <w:t>, vol. 12, no. 2, pp. 184–197, 2019.</w:t>
      </w:r>
    </w:p>
    <w:p w14:paraId="590BA6EE"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[33]</w:t>
      </w:r>
      <w:r w:rsidRPr="00D574FA">
        <w:rPr>
          <w:rFonts w:cs="Times"/>
          <w:noProof/>
          <w:szCs w:val="24"/>
        </w:rPr>
        <w:tab/>
        <w:t xml:space="preserve">D. Baneres, M. E. Rodríguez-Gonzalez, and M. Serra, “An Early Feedback Prediction System for Learners At-Risk within a First-Year Higher Education Course,” </w:t>
      </w:r>
      <w:r w:rsidRPr="00D574FA">
        <w:rPr>
          <w:rFonts w:cs="Times"/>
          <w:i/>
          <w:iCs/>
          <w:noProof/>
          <w:szCs w:val="24"/>
        </w:rPr>
        <w:t>IEEE Trans. Learn. Technol.</w:t>
      </w:r>
      <w:r w:rsidRPr="00D574FA">
        <w:rPr>
          <w:rFonts w:cs="Times"/>
          <w:noProof/>
          <w:szCs w:val="24"/>
        </w:rPr>
        <w:t>, vol. 12, no. 2, pp. 249–263, 2019.</w:t>
      </w:r>
    </w:p>
    <w:p w14:paraId="2F0FE2DC"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[34]</w:t>
      </w:r>
      <w:r w:rsidRPr="00D574FA">
        <w:rPr>
          <w:rFonts w:cs="Times"/>
          <w:noProof/>
          <w:szCs w:val="24"/>
        </w:rPr>
        <w:tab/>
        <w:t xml:space="preserve">S. Ahmad, K. Li, A. Amin, M. S. Anwar, and W. Khan, “A multilayer prediction approach for the student cognitive skills measurement,” </w:t>
      </w:r>
      <w:r w:rsidRPr="00D574FA">
        <w:rPr>
          <w:rFonts w:cs="Times"/>
          <w:i/>
          <w:iCs/>
          <w:noProof/>
          <w:szCs w:val="24"/>
        </w:rPr>
        <w:t>IEEE Access</w:t>
      </w:r>
      <w:r w:rsidRPr="00D574FA">
        <w:rPr>
          <w:rFonts w:cs="Times"/>
          <w:noProof/>
          <w:szCs w:val="24"/>
        </w:rPr>
        <w:t>, vol. 6, pp. 57470–57484, 2018.</w:t>
      </w:r>
    </w:p>
    <w:p w14:paraId="0F7EE911"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[35]</w:t>
      </w:r>
      <w:r w:rsidRPr="00D574FA">
        <w:rPr>
          <w:rFonts w:cs="Times"/>
          <w:noProof/>
          <w:szCs w:val="24"/>
        </w:rPr>
        <w:tab/>
        <w:t xml:space="preserve">M. J. Scott </w:t>
      </w:r>
      <w:r w:rsidRPr="00D574FA">
        <w:rPr>
          <w:rFonts w:cs="Times"/>
          <w:i/>
          <w:iCs/>
          <w:noProof/>
          <w:szCs w:val="24"/>
        </w:rPr>
        <w:t>et al.</w:t>
      </w:r>
      <w:r w:rsidRPr="00D574FA">
        <w:rPr>
          <w:rFonts w:cs="Times"/>
          <w:noProof/>
          <w:szCs w:val="24"/>
        </w:rPr>
        <w:t xml:space="preserve">, “Enhancing Practice and Achievement in Introductory Programming with a Robot Olympics,” </w:t>
      </w:r>
      <w:r w:rsidRPr="00D574FA">
        <w:rPr>
          <w:rFonts w:cs="Times"/>
          <w:i/>
          <w:iCs/>
          <w:noProof/>
          <w:szCs w:val="24"/>
        </w:rPr>
        <w:t>IEEE Trans. Educ.</w:t>
      </w:r>
      <w:r w:rsidRPr="00D574FA">
        <w:rPr>
          <w:rFonts w:cs="Times"/>
          <w:noProof/>
          <w:szCs w:val="24"/>
        </w:rPr>
        <w:t>, vol. 58, no. 4, pp. 249–254, 2015.</w:t>
      </w:r>
    </w:p>
    <w:p w14:paraId="12BFEE2C"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[36]</w:t>
      </w:r>
      <w:r w:rsidRPr="00D574FA">
        <w:rPr>
          <w:rFonts w:cs="Times"/>
          <w:noProof/>
          <w:szCs w:val="24"/>
        </w:rPr>
        <w:tab/>
        <w:t xml:space="preserve">R. Asif, A. Merceron, S. A. Ali, and N. G. Haider, “Analyzing undergraduate students’ performance using educational data mining,” </w:t>
      </w:r>
      <w:r w:rsidRPr="00D574FA">
        <w:rPr>
          <w:rFonts w:cs="Times"/>
          <w:i/>
          <w:iCs/>
          <w:noProof/>
          <w:szCs w:val="24"/>
        </w:rPr>
        <w:t>Comput. Educ.</w:t>
      </w:r>
      <w:r w:rsidRPr="00D574FA">
        <w:rPr>
          <w:rFonts w:cs="Times"/>
          <w:noProof/>
          <w:szCs w:val="24"/>
        </w:rPr>
        <w:t>, vol. 113, pp. 177–194, 2017.</w:t>
      </w:r>
    </w:p>
    <w:p w14:paraId="6820BBEA"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[37]</w:t>
      </w:r>
      <w:r w:rsidRPr="00D574FA">
        <w:rPr>
          <w:rFonts w:cs="Times"/>
          <w:noProof/>
          <w:szCs w:val="24"/>
        </w:rPr>
        <w:tab/>
        <w:t xml:space="preserve">C. C. Gray and D. Perkins, “Utilizing early engagement and machine learning to predict student outcomes,” </w:t>
      </w:r>
      <w:r w:rsidRPr="00D574FA">
        <w:rPr>
          <w:rFonts w:cs="Times"/>
          <w:i/>
          <w:iCs/>
          <w:noProof/>
          <w:szCs w:val="24"/>
        </w:rPr>
        <w:t>Comput. Educ.</w:t>
      </w:r>
      <w:r w:rsidRPr="00D574FA">
        <w:rPr>
          <w:rFonts w:cs="Times"/>
          <w:noProof/>
          <w:szCs w:val="24"/>
        </w:rPr>
        <w:t>, vol. 131, no. December 2018, pp. 22–32, 2019.</w:t>
      </w:r>
    </w:p>
    <w:p w14:paraId="4AD5E71C" w14:textId="77777777" w:rsidR="00D574FA" w:rsidRPr="00D574FA" w:rsidRDefault="00D574FA" w:rsidP="00D574FA">
      <w:pPr>
        <w:widowControl w:val="0"/>
        <w:autoSpaceDE w:val="0"/>
        <w:autoSpaceDN w:val="0"/>
        <w:adjustRightInd w:val="0"/>
        <w:ind w:left="640" w:hanging="640"/>
        <w:rPr>
          <w:rFonts w:cs="Times"/>
          <w:noProof/>
          <w:szCs w:val="24"/>
        </w:rPr>
      </w:pPr>
      <w:r w:rsidRPr="00D574FA">
        <w:rPr>
          <w:rFonts w:cs="Times"/>
          <w:noProof/>
          <w:szCs w:val="24"/>
        </w:rPr>
        <w:t>[38]</w:t>
      </w:r>
      <w:r w:rsidRPr="00D574FA">
        <w:rPr>
          <w:rFonts w:cs="Times"/>
          <w:noProof/>
          <w:szCs w:val="24"/>
        </w:rPr>
        <w:tab/>
        <w:t xml:space="preserve">F. Yang and F. W. B. Li, “Study on student performance estimation, student progress analysis, and student potential prediction based on data mining,” </w:t>
      </w:r>
      <w:r w:rsidRPr="00D574FA">
        <w:rPr>
          <w:rFonts w:cs="Times"/>
          <w:i/>
          <w:iCs/>
          <w:noProof/>
          <w:szCs w:val="24"/>
        </w:rPr>
        <w:t>Comput. Educ.</w:t>
      </w:r>
      <w:r w:rsidRPr="00D574FA">
        <w:rPr>
          <w:rFonts w:cs="Times"/>
          <w:noProof/>
          <w:szCs w:val="24"/>
        </w:rPr>
        <w:t xml:space="preserve">, vol. 123, no. October </w:t>
      </w:r>
      <w:r w:rsidRPr="00D574FA">
        <w:rPr>
          <w:rFonts w:cs="Times"/>
          <w:noProof/>
          <w:szCs w:val="24"/>
        </w:rPr>
        <w:lastRenderedPageBreak/>
        <w:t>2017, pp. 97–108, 2018.</w:t>
      </w:r>
    </w:p>
    <w:p w14:paraId="0B0FF49E" w14:textId="77777777" w:rsidR="00D574FA" w:rsidRPr="00D574FA" w:rsidRDefault="00D574FA" w:rsidP="00D574FA">
      <w:pPr>
        <w:widowControl w:val="0"/>
        <w:autoSpaceDE w:val="0"/>
        <w:autoSpaceDN w:val="0"/>
        <w:adjustRightInd w:val="0"/>
        <w:ind w:left="640" w:hanging="640"/>
        <w:rPr>
          <w:rFonts w:cs="Times"/>
          <w:noProof/>
        </w:rPr>
      </w:pPr>
      <w:r w:rsidRPr="00D574FA">
        <w:rPr>
          <w:rFonts w:cs="Times"/>
          <w:noProof/>
          <w:szCs w:val="24"/>
        </w:rPr>
        <w:t>[39]</w:t>
      </w:r>
      <w:r w:rsidRPr="00D574FA">
        <w:rPr>
          <w:rFonts w:cs="Times"/>
          <w:noProof/>
          <w:szCs w:val="24"/>
        </w:rPr>
        <w:tab/>
        <w:t xml:space="preserve">S. A. Viswanathan and K. Vanlehn, “Using the Tablet Gestures and Speech of Pairs of Students to Classify Their Collaboration,” </w:t>
      </w:r>
      <w:r w:rsidRPr="00D574FA">
        <w:rPr>
          <w:rFonts w:cs="Times"/>
          <w:i/>
          <w:iCs/>
          <w:noProof/>
          <w:szCs w:val="24"/>
        </w:rPr>
        <w:t>IEEE Trans. Learn. Technol.</w:t>
      </w:r>
      <w:r w:rsidRPr="00D574FA">
        <w:rPr>
          <w:rFonts w:cs="Times"/>
          <w:noProof/>
          <w:szCs w:val="24"/>
        </w:rPr>
        <w:t>, vol. 11, no. 2, pp. 230–242, 2018.</w:t>
      </w:r>
    </w:p>
    <w:p w14:paraId="7E2803E6" w14:textId="77777777" w:rsidR="00527471" w:rsidRDefault="002E7DC4" w:rsidP="00F336CF">
      <w:pPr>
        <w:jc w:val="both"/>
      </w:pPr>
      <w:r>
        <w:fldChar w:fldCharType="end"/>
      </w:r>
    </w:p>
    <w:p w14:paraId="602A78BA" w14:textId="77777777" w:rsidR="009A0487" w:rsidRDefault="009A0487"/>
    <w:p w14:paraId="5866603E" w14:textId="77777777" w:rsidR="006F45A4" w:rsidRPr="00C05E48" w:rsidRDefault="006F45A4"/>
    <w:sectPr w:rsidR="006F45A4" w:rsidRPr="00C05E48">
      <w:headerReference w:type="default" r:id="rId15"/>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udi Mulyanti" w:date="2019-12-16T07:27:00Z" w:initials="BM">
    <w:p w14:paraId="4694C584" w14:textId="77777777" w:rsidR="00110FF8" w:rsidRDefault="00110FF8">
      <w:pPr>
        <w:pStyle w:val="CommentText"/>
      </w:pPr>
      <w:r>
        <w:rPr>
          <w:rStyle w:val="CommentReference"/>
        </w:rPr>
        <w:annotationRef/>
      </w:r>
      <w:r>
        <w:t>Cek lagi nama-nam jurusan dalam Bahasa Inggris.</w:t>
      </w:r>
    </w:p>
  </w:comment>
  <w:comment w:id="2" w:author="Budi Mulyanti" w:date="2019-12-16T07:32:00Z" w:initials="BM">
    <w:p w14:paraId="546A41C7" w14:textId="77777777" w:rsidR="00110FF8" w:rsidRDefault="00110FF8">
      <w:pPr>
        <w:pStyle w:val="CommentText"/>
      </w:pPr>
      <w:r>
        <w:rPr>
          <w:rStyle w:val="CommentReference"/>
        </w:rPr>
        <w:annotationRef/>
      </w:r>
      <w:r>
        <w:t>Paragraf terakhir</w:t>
      </w:r>
    </w:p>
  </w:comment>
  <w:comment w:id="3" w:author="Firdamdam Sasmita" w:date="2020-08-20T09:08:00Z" w:initials="FS">
    <w:p w14:paraId="17B2DDBB" w14:textId="5760D090" w:rsidR="00057D27" w:rsidRDefault="00057D27">
      <w:pPr>
        <w:pStyle w:val="CommentText"/>
      </w:pPr>
      <w:r>
        <w:rPr>
          <w:rStyle w:val="CommentReference"/>
        </w:rPr>
        <w:annotationRef/>
      </w:r>
      <w:r>
        <w:t>Beres bu</w:t>
      </w:r>
    </w:p>
  </w:comment>
  <w:comment w:id="4" w:author="Budi Mulyanti" w:date="2019-12-16T07:39:00Z" w:initials="BM">
    <w:p w14:paraId="0B6A4D8E" w14:textId="77777777" w:rsidR="00C94BF7" w:rsidRDefault="00C94BF7">
      <w:pPr>
        <w:pStyle w:val="CommentText"/>
      </w:pPr>
      <w:r>
        <w:rPr>
          <w:rStyle w:val="CommentReference"/>
        </w:rPr>
        <w:annotationRef/>
      </w:r>
      <w:r>
        <w:t>Belum nampak permasalahannya sehingga perlu melalukan studi ini.</w:t>
      </w:r>
    </w:p>
  </w:comment>
  <w:comment w:id="5" w:author="Budi Mulyanti" w:date="2019-12-16T07:44:00Z" w:initials="BM">
    <w:p w14:paraId="082E0766" w14:textId="77777777" w:rsidR="00C94BF7" w:rsidRDefault="00C94BF7">
      <w:pPr>
        <w:pStyle w:val="CommentText"/>
      </w:pPr>
      <w:r>
        <w:rPr>
          <w:rStyle w:val="CommentReference"/>
        </w:rPr>
        <w:annotationRef/>
      </w:r>
      <w:r>
        <w:t>Deskripsikan Tabel-tabel.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94C584" w15:done="0"/>
  <w15:commentEx w15:paraId="546A41C7" w15:done="0"/>
  <w15:commentEx w15:paraId="17B2DDBB" w15:paraIdParent="546A41C7" w15:done="0"/>
  <w15:commentEx w15:paraId="0B6A4D8E" w15:done="0"/>
  <w15:commentEx w15:paraId="082E076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C96F6" w14:textId="77777777" w:rsidR="00D0044E" w:rsidRDefault="00D0044E">
      <w:r>
        <w:separator/>
      </w:r>
    </w:p>
  </w:endnote>
  <w:endnote w:type="continuationSeparator" w:id="0">
    <w:p w14:paraId="0BC1498D" w14:textId="77777777" w:rsidR="00D0044E" w:rsidRDefault="00D00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A178E" w14:textId="77777777" w:rsidR="00D0044E" w:rsidRPr="00043761" w:rsidRDefault="00D0044E">
      <w:pPr>
        <w:pStyle w:val="Bulleted"/>
        <w:numPr>
          <w:ilvl w:val="0"/>
          <w:numId w:val="0"/>
        </w:numPr>
        <w:rPr>
          <w:rFonts w:ascii="Sabon" w:hAnsi="Sabon"/>
          <w:color w:val="auto"/>
          <w:szCs w:val="20"/>
        </w:rPr>
      </w:pPr>
      <w:r>
        <w:separator/>
      </w:r>
    </w:p>
  </w:footnote>
  <w:footnote w:type="continuationSeparator" w:id="0">
    <w:p w14:paraId="100A5CD4" w14:textId="77777777" w:rsidR="00D0044E" w:rsidRDefault="00D004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B773C" w14:textId="77777777" w:rsidR="002D28FF" w:rsidRDefault="002D28FF"/>
  <w:p w14:paraId="554A03F3" w14:textId="77777777" w:rsidR="002D28FF" w:rsidRDefault="002D28FF"/>
  <w:p w14:paraId="1386623D" w14:textId="77777777" w:rsidR="002D28FF" w:rsidRDefault="002D28FF"/>
  <w:p w14:paraId="25737349" w14:textId="77777777" w:rsidR="002D28FF" w:rsidRDefault="002D28FF"/>
  <w:p w14:paraId="591A890A" w14:textId="77777777" w:rsidR="002D28FF" w:rsidRDefault="002D28FF"/>
  <w:p w14:paraId="6A083672" w14:textId="77777777" w:rsidR="002D28FF" w:rsidRDefault="002D28F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3423"/>
    <w:multiLevelType w:val="hybridMultilevel"/>
    <w:tmpl w:val="3DEE36B8"/>
    <w:lvl w:ilvl="0" w:tplc="72C46AA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265EA"/>
    <w:multiLevelType w:val="hybridMultilevel"/>
    <w:tmpl w:val="06A66F9E"/>
    <w:lvl w:ilvl="0" w:tplc="DB084BB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88233E"/>
    <w:multiLevelType w:val="hybridMultilevel"/>
    <w:tmpl w:val="7FC8B4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30A0C04"/>
    <w:multiLevelType w:val="hybridMultilevel"/>
    <w:tmpl w:val="B630F4B6"/>
    <w:lvl w:ilvl="0" w:tplc="89C60316">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BC77695"/>
    <w:multiLevelType w:val="hybridMultilevel"/>
    <w:tmpl w:val="B942A764"/>
    <w:lvl w:ilvl="0" w:tplc="DB084B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6363782"/>
    <w:multiLevelType w:val="hybridMultilevel"/>
    <w:tmpl w:val="FEE67BE8"/>
    <w:lvl w:ilvl="0" w:tplc="DFB0FB78">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B65D7B"/>
    <w:multiLevelType w:val="hybridMultilevel"/>
    <w:tmpl w:val="63702960"/>
    <w:lvl w:ilvl="0" w:tplc="0E54E838">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503C5382"/>
    <w:multiLevelType w:val="hybridMultilevel"/>
    <w:tmpl w:val="E4D6A240"/>
    <w:lvl w:ilvl="0" w:tplc="DB084BB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11B3F94"/>
    <w:multiLevelType w:val="hybridMultilevel"/>
    <w:tmpl w:val="7D967246"/>
    <w:lvl w:ilvl="0" w:tplc="DB084BB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35A6851"/>
    <w:multiLevelType w:val="hybridMultilevel"/>
    <w:tmpl w:val="54A6C71E"/>
    <w:lvl w:ilvl="0" w:tplc="DB084BB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A901B5"/>
    <w:multiLevelType w:val="multilevel"/>
    <w:tmpl w:val="6AAE300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1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6343BB"/>
    <w:multiLevelType w:val="hybridMultilevel"/>
    <w:tmpl w:val="2E2216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44F04B1"/>
    <w:multiLevelType w:val="hybridMultilevel"/>
    <w:tmpl w:val="60702298"/>
    <w:lvl w:ilvl="0" w:tplc="DB084BB4">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0878F9"/>
    <w:multiLevelType w:val="hybridMultilevel"/>
    <w:tmpl w:val="D3FC2458"/>
    <w:lvl w:ilvl="0" w:tplc="343C46A6">
      <w:numFmt w:val="bullet"/>
      <w:lvlText w:val="-"/>
      <w:lvlJc w:val="left"/>
      <w:pPr>
        <w:ind w:left="720" w:hanging="360"/>
      </w:pPr>
      <w:rPr>
        <w:rFonts w:ascii="Times" w:eastAsia="Times New Roman" w:hAnsi="Times" w:cs="Time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45C38A6"/>
    <w:multiLevelType w:val="hybridMultilevel"/>
    <w:tmpl w:val="5AA04308"/>
    <w:lvl w:ilvl="0" w:tplc="2B6E99D8">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8" w15:restartNumberingAfterBreak="0">
    <w:nsid w:val="767652FA"/>
    <w:multiLevelType w:val="hybridMultilevel"/>
    <w:tmpl w:val="EB06EEF6"/>
    <w:lvl w:ilvl="0" w:tplc="DB084BB4">
      <w:start w:val="1"/>
      <w:numFmt w:val="decimal"/>
      <w:lvlText w:val="(%1)"/>
      <w:lvlJc w:val="left"/>
      <w:pPr>
        <w:ind w:left="720" w:hanging="360"/>
      </w:pPr>
      <w:rPr>
        <w:rFonts w:hint="default"/>
        <w:b w:val="0"/>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9700EA4"/>
    <w:multiLevelType w:val="hybridMultilevel"/>
    <w:tmpl w:val="5C6642D6"/>
    <w:lvl w:ilvl="0" w:tplc="8FC2B1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0"/>
  </w:num>
  <w:num w:numId="2">
    <w:abstractNumId w:val="2"/>
  </w:num>
  <w:num w:numId="3">
    <w:abstractNumId w:val="1"/>
  </w:num>
  <w:num w:numId="4">
    <w:abstractNumId w:val="13"/>
  </w:num>
  <w:num w:numId="5">
    <w:abstractNumId w:val="16"/>
  </w:num>
  <w:num w:numId="6">
    <w:abstractNumId w:val="0"/>
  </w:num>
  <w:num w:numId="7">
    <w:abstractNumId w:val="14"/>
  </w:num>
  <w:num w:numId="8">
    <w:abstractNumId w:val="18"/>
  </w:num>
  <w:num w:numId="9">
    <w:abstractNumId w:val="3"/>
  </w:num>
  <w:num w:numId="10">
    <w:abstractNumId w:val="9"/>
  </w:num>
  <w:num w:numId="11">
    <w:abstractNumId w:val="4"/>
  </w:num>
  <w:num w:numId="12">
    <w:abstractNumId w:val="11"/>
  </w:num>
  <w:num w:numId="13">
    <w:abstractNumId w:val="17"/>
  </w:num>
  <w:num w:numId="14">
    <w:abstractNumId w:val="19"/>
  </w:num>
  <w:num w:numId="15">
    <w:abstractNumId w:val="6"/>
  </w:num>
  <w:num w:numId="16">
    <w:abstractNumId w:val="8"/>
  </w:num>
  <w:num w:numId="17">
    <w:abstractNumId w:val="12"/>
  </w:num>
  <w:num w:numId="18">
    <w:abstractNumId w:val="5"/>
  </w:num>
  <w:num w:numId="19">
    <w:abstractNumId w:val="15"/>
  </w:num>
  <w:num w:numId="20">
    <w:abstractNumId w:val="10"/>
  </w:num>
  <w:num w:numId="21">
    <w:abstractNumId w:val="7"/>
  </w:num>
  <w:numIdMacAtCleanup w:val="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di Mulyanti">
    <w15:presenceInfo w15:providerId="Windows Live" w15:userId="47d61aa6f02004b3"/>
  </w15:person>
  <w15:person w15:author="Firdamdam Sasmita">
    <w15:presenceInfo w15:providerId="None" w15:userId="Firdamdam Sasmi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E4"/>
    <w:rsid w:val="00002799"/>
    <w:rsid w:val="00003053"/>
    <w:rsid w:val="00006EA6"/>
    <w:rsid w:val="000102E8"/>
    <w:rsid w:val="00012153"/>
    <w:rsid w:val="0001242D"/>
    <w:rsid w:val="00012A8D"/>
    <w:rsid w:val="00013A02"/>
    <w:rsid w:val="00024FA9"/>
    <w:rsid w:val="0002752D"/>
    <w:rsid w:val="00031B8B"/>
    <w:rsid w:val="00031C71"/>
    <w:rsid w:val="0003340F"/>
    <w:rsid w:val="00040873"/>
    <w:rsid w:val="00041C3B"/>
    <w:rsid w:val="00043236"/>
    <w:rsid w:val="00047226"/>
    <w:rsid w:val="000519C5"/>
    <w:rsid w:val="0005235E"/>
    <w:rsid w:val="000558F6"/>
    <w:rsid w:val="0005656D"/>
    <w:rsid w:val="00057D27"/>
    <w:rsid w:val="00063E4B"/>
    <w:rsid w:val="00066BF2"/>
    <w:rsid w:val="00071372"/>
    <w:rsid w:val="00072020"/>
    <w:rsid w:val="00072339"/>
    <w:rsid w:val="0007748F"/>
    <w:rsid w:val="00080D66"/>
    <w:rsid w:val="0008126C"/>
    <w:rsid w:val="00083FD8"/>
    <w:rsid w:val="000850C5"/>
    <w:rsid w:val="00085F3F"/>
    <w:rsid w:val="00086217"/>
    <w:rsid w:val="00094944"/>
    <w:rsid w:val="00095434"/>
    <w:rsid w:val="00095B69"/>
    <w:rsid w:val="00096B3B"/>
    <w:rsid w:val="000A03D9"/>
    <w:rsid w:val="000A057E"/>
    <w:rsid w:val="000A1270"/>
    <w:rsid w:val="000A256F"/>
    <w:rsid w:val="000A3453"/>
    <w:rsid w:val="000A3CB0"/>
    <w:rsid w:val="000A54D4"/>
    <w:rsid w:val="000B1109"/>
    <w:rsid w:val="000C163B"/>
    <w:rsid w:val="000C5327"/>
    <w:rsid w:val="000D1ED4"/>
    <w:rsid w:val="000D3ED0"/>
    <w:rsid w:val="000D4E4A"/>
    <w:rsid w:val="000E29C0"/>
    <w:rsid w:val="000E2FFE"/>
    <w:rsid w:val="000E6683"/>
    <w:rsid w:val="000F25A3"/>
    <w:rsid w:val="000F26E8"/>
    <w:rsid w:val="000F429D"/>
    <w:rsid w:val="000F52A6"/>
    <w:rsid w:val="00104532"/>
    <w:rsid w:val="001065AA"/>
    <w:rsid w:val="0011044B"/>
    <w:rsid w:val="00110FF8"/>
    <w:rsid w:val="001131B4"/>
    <w:rsid w:val="0011511F"/>
    <w:rsid w:val="001152E2"/>
    <w:rsid w:val="00117953"/>
    <w:rsid w:val="001312B8"/>
    <w:rsid w:val="00131B5B"/>
    <w:rsid w:val="00135318"/>
    <w:rsid w:val="0013633C"/>
    <w:rsid w:val="00144346"/>
    <w:rsid w:val="00144547"/>
    <w:rsid w:val="00165782"/>
    <w:rsid w:val="00170470"/>
    <w:rsid w:val="001717DD"/>
    <w:rsid w:val="00173728"/>
    <w:rsid w:val="00174450"/>
    <w:rsid w:val="00177909"/>
    <w:rsid w:val="001857A7"/>
    <w:rsid w:val="001972A8"/>
    <w:rsid w:val="001A3A9B"/>
    <w:rsid w:val="001A403C"/>
    <w:rsid w:val="001B274F"/>
    <w:rsid w:val="001C01BB"/>
    <w:rsid w:val="001C63EE"/>
    <w:rsid w:val="001E1FC4"/>
    <w:rsid w:val="001E2AF5"/>
    <w:rsid w:val="001E31BD"/>
    <w:rsid w:val="001E6F37"/>
    <w:rsid w:val="001F41CE"/>
    <w:rsid w:val="001F44C2"/>
    <w:rsid w:val="00201E7C"/>
    <w:rsid w:val="00202099"/>
    <w:rsid w:val="0020612A"/>
    <w:rsid w:val="0020758B"/>
    <w:rsid w:val="0021318F"/>
    <w:rsid w:val="00213432"/>
    <w:rsid w:val="00214AA0"/>
    <w:rsid w:val="00217A99"/>
    <w:rsid w:val="00221DFB"/>
    <w:rsid w:val="002220FC"/>
    <w:rsid w:val="00222F04"/>
    <w:rsid w:val="00231B69"/>
    <w:rsid w:val="00240E7E"/>
    <w:rsid w:val="00243268"/>
    <w:rsid w:val="00245916"/>
    <w:rsid w:val="002505E4"/>
    <w:rsid w:val="002511F5"/>
    <w:rsid w:val="00252D01"/>
    <w:rsid w:val="00254BA3"/>
    <w:rsid w:val="002556B9"/>
    <w:rsid w:val="002641E5"/>
    <w:rsid w:val="00264406"/>
    <w:rsid w:val="00267E4B"/>
    <w:rsid w:val="002731B1"/>
    <w:rsid w:val="0027552C"/>
    <w:rsid w:val="002779E1"/>
    <w:rsid w:val="0028573B"/>
    <w:rsid w:val="00285D13"/>
    <w:rsid w:val="00296A4A"/>
    <w:rsid w:val="002A2372"/>
    <w:rsid w:val="002A309E"/>
    <w:rsid w:val="002A31A6"/>
    <w:rsid w:val="002A418F"/>
    <w:rsid w:val="002B1907"/>
    <w:rsid w:val="002B1F7B"/>
    <w:rsid w:val="002B4644"/>
    <w:rsid w:val="002B4813"/>
    <w:rsid w:val="002C029A"/>
    <w:rsid w:val="002C05AB"/>
    <w:rsid w:val="002C0A70"/>
    <w:rsid w:val="002C260D"/>
    <w:rsid w:val="002D28FF"/>
    <w:rsid w:val="002D424F"/>
    <w:rsid w:val="002D5A69"/>
    <w:rsid w:val="002E0E1D"/>
    <w:rsid w:val="002E280A"/>
    <w:rsid w:val="002E7DC4"/>
    <w:rsid w:val="002F2523"/>
    <w:rsid w:val="002F270A"/>
    <w:rsid w:val="002F5582"/>
    <w:rsid w:val="002F58CE"/>
    <w:rsid w:val="002F68B5"/>
    <w:rsid w:val="002F7406"/>
    <w:rsid w:val="002F7FBE"/>
    <w:rsid w:val="00300310"/>
    <w:rsid w:val="00311B78"/>
    <w:rsid w:val="00316701"/>
    <w:rsid w:val="003176DD"/>
    <w:rsid w:val="00317758"/>
    <w:rsid w:val="00324114"/>
    <w:rsid w:val="00325FBE"/>
    <w:rsid w:val="003277B7"/>
    <w:rsid w:val="00331053"/>
    <w:rsid w:val="00336172"/>
    <w:rsid w:val="00337CC0"/>
    <w:rsid w:val="00342559"/>
    <w:rsid w:val="00343055"/>
    <w:rsid w:val="00344DDF"/>
    <w:rsid w:val="00345F8F"/>
    <w:rsid w:val="00346E90"/>
    <w:rsid w:val="003500A0"/>
    <w:rsid w:val="00351BF8"/>
    <w:rsid w:val="003606AD"/>
    <w:rsid w:val="003615B1"/>
    <w:rsid w:val="00363637"/>
    <w:rsid w:val="003638FD"/>
    <w:rsid w:val="0037109C"/>
    <w:rsid w:val="00380D7F"/>
    <w:rsid w:val="00386166"/>
    <w:rsid w:val="003867A9"/>
    <w:rsid w:val="0039181B"/>
    <w:rsid w:val="003924FB"/>
    <w:rsid w:val="0039507C"/>
    <w:rsid w:val="00396B66"/>
    <w:rsid w:val="003A0719"/>
    <w:rsid w:val="003A0DF4"/>
    <w:rsid w:val="003A1BFE"/>
    <w:rsid w:val="003A7583"/>
    <w:rsid w:val="003B2D68"/>
    <w:rsid w:val="003B33F7"/>
    <w:rsid w:val="003B7764"/>
    <w:rsid w:val="003C0CD0"/>
    <w:rsid w:val="003D058D"/>
    <w:rsid w:val="003D1AFB"/>
    <w:rsid w:val="003D2DCB"/>
    <w:rsid w:val="003D6FFC"/>
    <w:rsid w:val="003E1465"/>
    <w:rsid w:val="003E2056"/>
    <w:rsid w:val="003E3471"/>
    <w:rsid w:val="003E380E"/>
    <w:rsid w:val="003E632B"/>
    <w:rsid w:val="003F6A3B"/>
    <w:rsid w:val="00400E59"/>
    <w:rsid w:val="00405451"/>
    <w:rsid w:val="0040577C"/>
    <w:rsid w:val="00405F0F"/>
    <w:rsid w:val="00410A06"/>
    <w:rsid w:val="004138BC"/>
    <w:rsid w:val="004170EF"/>
    <w:rsid w:val="00423015"/>
    <w:rsid w:val="00423C0A"/>
    <w:rsid w:val="0042494D"/>
    <w:rsid w:val="00425CF6"/>
    <w:rsid w:val="004261A0"/>
    <w:rsid w:val="0043508D"/>
    <w:rsid w:val="0044037A"/>
    <w:rsid w:val="004414A6"/>
    <w:rsid w:val="00441F37"/>
    <w:rsid w:val="004465BC"/>
    <w:rsid w:val="0045124E"/>
    <w:rsid w:val="00452C20"/>
    <w:rsid w:val="00454325"/>
    <w:rsid w:val="0046322E"/>
    <w:rsid w:val="004642FA"/>
    <w:rsid w:val="00466B39"/>
    <w:rsid w:val="0047041D"/>
    <w:rsid w:val="00471A42"/>
    <w:rsid w:val="0048446A"/>
    <w:rsid w:val="004918AD"/>
    <w:rsid w:val="00492BE9"/>
    <w:rsid w:val="004A4E1A"/>
    <w:rsid w:val="004B3198"/>
    <w:rsid w:val="004B483A"/>
    <w:rsid w:val="004B5D9D"/>
    <w:rsid w:val="004B69AF"/>
    <w:rsid w:val="004C20E6"/>
    <w:rsid w:val="004C3DED"/>
    <w:rsid w:val="004C593D"/>
    <w:rsid w:val="004C7273"/>
    <w:rsid w:val="004D13E2"/>
    <w:rsid w:val="004D18F2"/>
    <w:rsid w:val="004D3F98"/>
    <w:rsid w:val="004D45A4"/>
    <w:rsid w:val="004E1D88"/>
    <w:rsid w:val="004E2D4D"/>
    <w:rsid w:val="004E34B4"/>
    <w:rsid w:val="004E7EE1"/>
    <w:rsid w:val="004F2539"/>
    <w:rsid w:val="004F269B"/>
    <w:rsid w:val="004F6044"/>
    <w:rsid w:val="00507104"/>
    <w:rsid w:val="005128A2"/>
    <w:rsid w:val="00512B7A"/>
    <w:rsid w:val="005158FA"/>
    <w:rsid w:val="0052637E"/>
    <w:rsid w:val="00527034"/>
    <w:rsid w:val="00527471"/>
    <w:rsid w:val="00527573"/>
    <w:rsid w:val="00532CED"/>
    <w:rsid w:val="00536651"/>
    <w:rsid w:val="00537300"/>
    <w:rsid w:val="0054027B"/>
    <w:rsid w:val="0054134C"/>
    <w:rsid w:val="00543B09"/>
    <w:rsid w:val="005548B5"/>
    <w:rsid w:val="005604C3"/>
    <w:rsid w:val="00562D1D"/>
    <w:rsid w:val="00564185"/>
    <w:rsid w:val="00571129"/>
    <w:rsid w:val="005712B2"/>
    <w:rsid w:val="00574BC4"/>
    <w:rsid w:val="00580722"/>
    <w:rsid w:val="00584811"/>
    <w:rsid w:val="00584E8A"/>
    <w:rsid w:val="005879ED"/>
    <w:rsid w:val="005940F5"/>
    <w:rsid w:val="005A1E5B"/>
    <w:rsid w:val="005A2EC0"/>
    <w:rsid w:val="005B25AC"/>
    <w:rsid w:val="005B4536"/>
    <w:rsid w:val="005B6965"/>
    <w:rsid w:val="005B6C27"/>
    <w:rsid w:val="005C0C98"/>
    <w:rsid w:val="005C2EAB"/>
    <w:rsid w:val="005C3382"/>
    <w:rsid w:val="005D3158"/>
    <w:rsid w:val="005E0E98"/>
    <w:rsid w:val="005E238F"/>
    <w:rsid w:val="005E24D4"/>
    <w:rsid w:val="005E3477"/>
    <w:rsid w:val="005E3F53"/>
    <w:rsid w:val="005E41B7"/>
    <w:rsid w:val="005E5548"/>
    <w:rsid w:val="005E5750"/>
    <w:rsid w:val="005E58D9"/>
    <w:rsid w:val="005E6662"/>
    <w:rsid w:val="005E6BB3"/>
    <w:rsid w:val="005F3676"/>
    <w:rsid w:val="0060689E"/>
    <w:rsid w:val="00606BC1"/>
    <w:rsid w:val="00607FF1"/>
    <w:rsid w:val="0061216F"/>
    <w:rsid w:val="0061240D"/>
    <w:rsid w:val="00613F82"/>
    <w:rsid w:val="00614D8F"/>
    <w:rsid w:val="00615EB7"/>
    <w:rsid w:val="00616414"/>
    <w:rsid w:val="00616B49"/>
    <w:rsid w:val="006209E4"/>
    <w:rsid w:val="00621373"/>
    <w:rsid w:val="0062257A"/>
    <w:rsid w:val="006246C1"/>
    <w:rsid w:val="00626481"/>
    <w:rsid w:val="00630279"/>
    <w:rsid w:val="006322CE"/>
    <w:rsid w:val="00632D82"/>
    <w:rsid w:val="0063358B"/>
    <w:rsid w:val="00633A1F"/>
    <w:rsid w:val="00645425"/>
    <w:rsid w:val="00646A6E"/>
    <w:rsid w:val="00650620"/>
    <w:rsid w:val="00652CBF"/>
    <w:rsid w:val="00653F80"/>
    <w:rsid w:val="006600D4"/>
    <w:rsid w:val="00665324"/>
    <w:rsid w:val="00666311"/>
    <w:rsid w:val="00672C50"/>
    <w:rsid w:val="00675BF6"/>
    <w:rsid w:val="006769C9"/>
    <w:rsid w:val="0068189D"/>
    <w:rsid w:val="00682911"/>
    <w:rsid w:val="00682B8B"/>
    <w:rsid w:val="0068313A"/>
    <w:rsid w:val="00684D8D"/>
    <w:rsid w:val="00690EAA"/>
    <w:rsid w:val="00691DF1"/>
    <w:rsid w:val="00692208"/>
    <w:rsid w:val="00696B3B"/>
    <w:rsid w:val="00697342"/>
    <w:rsid w:val="00697FA4"/>
    <w:rsid w:val="006A2002"/>
    <w:rsid w:val="006A3DC7"/>
    <w:rsid w:val="006A5597"/>
    <w:rsid w:val="006B490E"/>
    <w:rsid w:val="006B670D"/>
    <w:rsid w:val="006C14F1"/>
    <w:rsid w:val="006C1772"/>
    <w:rsid w:val="006C49D1"/>
    <w:rsid w:val="006C6AFA"/>
    <w:rsid w:val="006D150F"/>
    <w:rsid w:val="006D742B"/>
    <w:rsid w:val="006D79EE"/>
    <w:rsid w:val="006E3B66"/>
    <w:rsid w:val="006E4B28"/>
    <w:rsid w:val="006F08EB"/>
    <w:rsid w:val="006F0E8F"/>
    <w:rsid w:val="006F45A4"/>
    <w:rsid w:val="00701781"/>
    <w:rsid w:val="007017E0"/>
    <w:rsid w:val="00701F52"/>
    <w:rsid w:val="00715482"/>
    <w:rsid w:val="00723779"/>
    <w:rsid w:val="00725320"/>
    <w:rsid w:val="007269AF"/>
    <w:rsid w:val="00727DE6"/>
    <w:rsid w:val="00732421"/>
    <w:rsid w:val="00733CB3"/>
    <w:rsid w:val="0073776A"/>
    <w:rsid w:val="00740F86"/>
    <w:rsid w:val="00741D54"/>
    <w:rsid w:val="0074217D"/>
    <w:rsid w:val="00743A31"/>
    <w:rsid w:val="007465AB"/>
    <w:rsid w:val="00750EEA"/>
    <w:rsid w:val="00751626"/>
    <w:rsid w:val="0075177D"/>
    <w:rsid w:val="00751DED"/>
    <w:rsid w:val="0075200D"/>
    <w:rsid w:val="00753C57"/>
    <w:rsid w:val="00760BC9"/>
    <w:rsid w:val="0076108C"/>
    <w:rsid w:val="007637A9"/>
    <w:rsid w:val="00771476"/>
    <w:rsid w:val="00775EBA"/>
    <w:rsid w:val="00780C91"/>
    <w:rsid w:val="00782338"/>
    <w:rsid w:val="00782830"/>
    <w:rsid w:val="00785273"/>
    <w:rsid w:val="007879AA"/>
    <w:rsid w:val="0079173C"/>
    <w:rsid w:val="00793DB1"/>
    <w:rsid w:val="00796E7E"/>
    <w:rsid w:val="007A26AC"/>
    <w:rsid w:val="007A3633"/>
    <w:rsid w:val="007A6BAE"/>
    <w:rsid w:val="007A72F2"/>
    <w:rsid w:val="007A7E29"/>
    <w:rsid w:val="007B08C5"/>
    <w:rsid w:val="007B3D7E"/>
    <w:rsid w:val="007B4145"/>
    <w:rsid w:val="007C0353"/>
    <w:rsid w:val="007C1768"/>
    <w:rsid w:val="007C2DE2"/>
    <w:rsid w:val="007C3DAA"/>
    <w:rsid w:val="007C5D5F"/>
    <w:rsid w:val="007D224F"/>
    <w:rsid w:val="007D44C3"/>
    <w:rsid w:val="007D4AF1"/>
    <w:rsid w:val="007D5DCB"/>
    <w:rsid w:val="007D64CF"/>
    <w:rsid w:val="007E109B"/>
    <w:rsid w:val="007E1BB7"/>
    <w:rsid w:val="007E3061"/>
    <w:rsid w:val="007E3130"/>
    <w:rsid w:val="007E378D"/>
    <w:rsid w:val="007E4B2E"/>
    <w:rsid w:val="007F377B"/>
    <w:rsid w:val="007F5EBA"/>
    <w:rsid w:val="008006CF"/>
    <w:rsid w:val="008033C1"/>
    <w:rsid w:val="008074B2"/>
    <w:rsid w:val="008104C8"/>
    <w:rsid w:val="0081066A"/>
    <w:rsid w:val="0081148D"/>
    <w:rsid w:val="00812D74"/>
    <w:rsid w:val="00817BCC"/>
    <w:rsid w:val="00817F32"/>
    <w:rsid w:val="008208BD"/>
    <w:rsid w:val="008249F1"/>
    <w:rsid w:val="00824E7C"/>
    <w:rsid w:val="008271CD"/>
    <w:rsid w:val="008316E0"/>
    <w:rsid w:val="00834CB9"/>
    <w:rsid w:val="00835FFB"/>
    <w:rsid w:val="008406D3"/>
    <w:rsid w:val="00844FFD"/>
    <w:rsid w:val="008452E8"/>
    <w:rsid w:val="00845471"/>
    <w:rsid w:val="00846C84"/>
    <w:rsid w:val="00852814"/>
    <w:rsid w:val="00856D12"/>
    <w:rsid w:val="0085781A"/>
    <w:rsid w:val="00861A2D"/>
    <w:rsid w:val="00862B84"/>
    <w:rsid w:val="00864450"/>
    <w:rsid w:val="00866F83"/>
    <w:rsid w:val="00867F41"/>
    <w:rsid w:val="00870D05"/>
    <w:rsid w:val="00872F0A"/>
    <w:rsid w:val="008831CA"/>
    <w:rsid w:val="00884F07"/>
    <w:rsid w:val="00885B33"/>
    <w:rsid w:val="008904AE"/>
    <w:rsid w:val="0089179E"/>
    <w:rsid w:val="00892218"/>
    <w:rsid w:val="00897545"/>
    <w:rsid w:val="00897D29"/>
    <w:rsid w:val="008A1F3C"/>
    <w:rsid w:val="008A54B0"/>
    <w:rsid w:val="008A54D4"/>
    <w:rsid w:val="008A6457"/>
    <w:rsid w:val="008A6E2A"/>
    <w:rsid w:val="008B12D8"/>
    <w:rsid w:val="008B1601"/>
    <w:rsid w:val="008B1DAD"/>
    <w:rsid w:val="008B5068"/>
    <w:rsid w:val="008B6B2D"/>
    <w:rsid w:val="008C39C2"/>
    <w:rsid w:val="008C7B91"/>
    <w:rsid w:val="008D6FF3"/>
    <w:rsid w:val="008E4E69"/>
    <w:rsid w:val="008E5492"/>
    <w:rsid w:val="008E6162"/>
    <w:rsid w:val="008E7CBF"/>
    <w:rsid w:val="00900230"/>
    <w:rsid w:val="009010B1"/>
    <w:rsid w:val="009028C7"/>
    <w:rsid w:val="009071DA"/>
    <w:rsid w:val="009209E0"/>
    <w:rsid w:val="00923F8D"/>
    <w:rsid w:val="00927FD6"/>
    <w:rsid w:val="009309C4"/>
    <w:rsid w:val="0093208F"/>
    <w:rsid w:val="00932B91"/>
    <w:rsid w:val="00933A9E"/>
    <w:rsid w:val="00934F94"/>
    <w:rsid w:val="00935B0D"/>
    <w:rsid w:val="009416AD"/>
    <w:rsid w:val="0094195D"/>
    <w:rsid w:val="00942593"/>
    <w:rsid w:val="0094312F"/>
    <w:rsid w:val="009551C4"/>
    <w:rsid w:val="00955A3D"/>
    <w:rsid w:val="0095632E"/>
    <w:rsid w:val="009566B4"/>
    <w:rsid w:val="009606C4"/>
    <w:rsid w:val="00960DE4"/>
    <w:rsid w:val="00962081"/>
    <w:rsid w:val="0096214D"/>
    <w:rsid w:val="00965DBB"/>
    <w:rsid w:val="00973267"/>
    <w:rsid w:val="00980B7D"/>
    <w:rsid w:val="009816CE"/>
    <w:rsid w:val="009854A1"/>
    <w:rsid w:val="00985896"/>
    <w:rsid w:val="0098633E"/>
    <w:rsid w:val="009905C3"/>
    <w:rsid w:val="00990EEA"/>
    <w:rsid w:val="00992BC4"/>
    <w:rsid w:val="00995F33"/>
    <w:rsid w:val="009A0487"/>
    <w:rsid w:val="009A142E"/>
    <w:rsid w:val="009A4014"/>
    <w:rsid w:val="009A5EE7"/>
    <w:rsid w:val="009B12BB"/>
    <w:rsid w:val="009B4B0E"/>
    <w:rsid w:val="009B5433"/>
    <w:rsid w:val="009B5D9A"/>
    <w:rsid w:val="009B7FF0"/>
    <w:rsid w:val="009C1297"/>
    <w:rsid w:val="009C7F6D"/>
    <w:rsid w:val="009D149D"/>
    <w:rsid w:val="009D4251"/>
    <w:rsid w:val="009E0A05"/>
    <w:rsid w:val="009E2F0C"/>
    <w:rsid w:val="009E552C"/>
    <w:rsid w:val="009F1012"/>
    <w:rsid w:val="009F206A"/>
    <w:rsid w:val="009F5DA1"/>
    <w:rsid w:val="009F7BD8"/>
    <w:rsid w:val="00A011F7"/>
    <w:rsid w:val="00A02C47"/>
    <w:rsid w:val="00A03B66"/>
    <w:rsid w:val="00A13141"/>
    <w:rsid w:val="00A13930"/>
    <w:rsid w:val="00A150E0"/>
    <w:rsid w:val="00A15E7E"/>
    <w:rsid w:val="00A23AB0"/>
    <w:rsid w:val="00A23B33"/>
    <w:rsid w:val="00A26B3E"/>
    <w:rsid w:val="00A27E7E"/>
    <w:rsid w:val="00A30CE0"/>
    <w:rsid w:val="00A33BA2"/>
    <w:rsid w:val="00A3551D"/>
    <w:rsid w:val="00A46D42"/>
    <w:rsid w:val="00A53D16"/>
    <w:rsid w:val="00A54E7C"/>
    <w:rsid w:val="00A6414A"/>
    <w:rsid w:val="00A66DB8"/>
    <w:rsid w:val="00A72070"/>
    <w:rsid w:val="00A74418"/>
    <w:rsid w:val="00A85AC0"/>
    <w:rsid w:val="00A96477"/>
    <w:rsid w:val="00A97BDB"/>
    <w:rsid w:val="00AA3DDD"/>
    <w:rsid w:val="00AA710E"/>
    <w:rsid w:val="00AB1457"/>
    <w:rsid w:val="00AB364C"/>
    <w:rsid w:val="00AC0478"/>
    <w:rsid w:val="00AC13DB"/>
    <w:rsid w:val="00AC1D33"/>
    <w:rsid w:val="00AC678E"/>
    <w:rsid w:val="00AD25A3"/>
    <w:rsid w:val="00AD3ABB"/>
    <w:rsid w:val="00AD482A"/>
    <w:rsid w:val="00AD64F0"/>
    <w:rsid w:val="00AE191D"/>
    <w:rsid w:val="00AE1B98"/>
    <w:rsid w:val="00AE3827"/>
    <w:rsid w:val="00AE587E"/>
    <w:rsid w:val="00AE7B8F"/>
    <w:rsid w:val="00AF371F"/>
    <w:rsid w:val="00AF6231"/>
    <w:rsid w:val="00B03EFE"/>
    <w:rsid w:val="00B05982"/>
    <w:rsid w:val="00B107E4"/>
    <w:rsid w:val="00B110AF"/>
    <w:rsid w:val="00B11889"/>
    <w:rsid w:val="00B1385A"/>
    <w:rsid w:val="00B20A68"/>
    <w:rsid w:val="00B22C86"/>
    <w:rsid w:val="00B32486"/>
    <w:rsid w:val="00B3562D"/>
    <w:rsid w:val="00B36AEB"/>
    <w:rsid w:val="00B4118F"/>
    <w:rsid w:val="00B45B7C"/>
    <w:rsid w:val="00B47557"/>
    <w:rsid w:val="00B57B7E"/>
    <w:rsid w:val="00B64C86"/>
    <w:rsid w:val="00B67FA8"/>
    <w:rsid w:val="00B7046E"/>
    <w:rsid w:val="00B72685"/>
    <w:rsid w:val="00B75C32"/>
    <w:rsid w:val="00B802FD"/>
    <w:rsid w:val="00B822C9"/>
    <w:rsid w:val="00B83CFB"/>
    <w:rsid w:val="00B83F45"/>
    <w:rsid w:val="00B8542C"/>
    <w:rsid w:val="00B86D89"/>
    <w:rsid w:val="00B935AB"/>
    <w:rsid w:val="00BA038B"/>
    <w:rsid w:val="00BA4701"/>
    <w:rsid w:val="00BA6056"/>
    <w:rsid w:val="00BB5BF8"/>
    <w:rsid w:val="00BB615D"/>
    <w:rsid w:val="00BC0FA2"/>
    <w:rsid w:val="00BC69D0"/>
    <w:rsid w:val="00BC6AB6"/>
    <w:rsid w:val="00BC7468"/>
    <w:rsid w:val="00BD31C2"/>
    <w:rsid w:val="00BD4771"/>
    <w:rsid w:val="00BE43F6"/>
    <w:rsid w:val="00BE4F5B"/>
    <w:rsid w:val="00BF6065"/>
    <w:rsid w:val="00BF6596"/>
    <w:rsid w:val="00C06717"/>
    <w:rsid w:val="00C11E0B"/>
    <w:rsid w:val="00C14169"/>
    <w:rsid w:val="00C14DFA"/>
    <w:rsid w:val="00C1748A"/>
    <w:rsid w:val="00C17BCA"/>
    <w:rsid w:val="00C20347"/>
    <w:rsid w:val="00C22464"/>
    <w:rsid w:val="00C27822"/>
    <w:rsid w:val="00C27F89"/>
    <w:rsid w:val="00C31229"/>
    <w:rsid w:val="00C353C7"/>
    <w:rsid w:val="00C4296D"/>
    <w:rsid w:val="00C44C21"/>
    <w:rsid w:val="00C4792F"/>
    <w:rsid w:val="00C5069A"/>
    <w:rsid w:val="00C53801"/>
    <w:rsid w:val="00C55255"/>
    <w:rsid w:val="00C553CC"/>
    <w:rsid w:val="00C5565C"/>
    <w:rsid w:val="00C557EA"/>
    <w:rsid w:val="00C5631B"/>
    <w:rsid w:val="00C57A32"/>
    <w:rsid w:val="00C60216"/>
    <w:rsid w:val="00C61044"/>
    <w:rsid w:val="00C64C26"/>
    <w:rsid w:val="00C66869"/>
    <w:rsid w:val="00C73A42"/>
    <w:rsid w:val="00C73D56"/>
    <w:rsid w:val="00C77497"/>
    <w:rsid w:val="00C81AC5"/>
    <w:rsid w:val="00C8354B"/>
    <w:rsid w:val="00C840FE"/>
    <w:rsid w:val="00C905E1"/>
    <w:rsid w:val="00C92371"/>
    <w:rsid w:val="00C94AE1"/>
    <w:rsid w:val="00C94BF7"/>
    <w:rsid w:val="00C94EAF"/>
    <w:rsid w:val="00CA20F1"/>
    <w:rsid w:val="00CA437F"/>
    <w:rsid w:val="00CA63E8"/>
    <w:rsid w:val="00CA6E7C"/>
    <w:rsid w:val="00CB110B"/>
    <w:rsid w:val="00CB3130"/>
    <w:rsid w:val="00CB47FA"/>
    <w:rsid w:val="00CB6A25"/>
    <w:rsid w:val="00CC20E8"/>
    <w:rsid w:val="00CC3C6C"/>
    <w:rsid w:val="00CD0D3B"/>
    <w:rsid w:val="00CE01F0"/>
    <w:rsid w:val="00CE4E6B"/>
    <w:rsid w:val="00CE52C2"/>
    <w:rsid w:val="00CE7EDD"/>
    <w:rsid w:val="00CF3276"/>
    <w:rsid w:val="00CF33A5"/>
    <w:rsid w:val="00CF7DA2"/>
    <w:rsid w:val="00D0044E"/>
    <w:rsid w:val="00D00695"/>
    <w:rsid w:val="00D00C1B"/>
    <w:rsid w:val="00D024B2"/>
    <w:rsid w:val="00D10D7D"/>
    <w:rsid w:val="00D10FDA"/>
    <w:rsid w:val="00D11F9A"/>
    <w:rsid w:val="00D15ED6"/>
    <w:rsid w:val="00D165F5"/>
    <w:rsid w:val="00D2011D"/>
    <w:rsid w:val="00D201E7"/>
    <w:rsid w:val="00D205A3"/>
    <w:rsid w:val="00D20685"/>
    <w:rsid w:val="00D2115C"/>
    <w:rsid w:val="00D23B97"/>
    <w:rsid w:val="00D253FA"/>
    <w:rsid w:val="00D27177"/>
    <w:rsid w:val="00D27346"/>
    <w:rsid w:val="00D3481E"/>
    <w:rsid w:val="00D34B86"/>
    <w:rsid w:val="00D3644E"/>
    <w:rsid w:val="00D41B33"/>
    <w:rsid w:val="00D4397E"/>
    <w:rsid w:val="00D47719"/>
    <w:rsid w:val="00D50DC8"/>
    <w:rsid w:val="00D530CF"/>
    <w:rsid w:val="00D55C77"/>
    <w:rsid w:val="00D574FA"/>
    <w:rsid w:val="00D57666"/>
    <w:rsid w:val="00D57F18"/>
    <w:rsid w:val="00D63D60"/>
    <w:rsid w:val="00D8018B"/>
    <w:rsid w:val="00D842F5"/>
    <w:rsid w:val="00D86100"/>
    <w:rsid w:val="00D86407"/>
    <w:rsid w:val="00D87F75"/>
    <w:rsid w:val="00D9317D"/>
    <w:rsid w:val="00D94C87"/>
    <w:rsid w:val="00D95EAB"/>
    <w:rsid w:val="00DA09F2"/>
    <w:rsid w:val="00DA3DFD"/>
    <w:rsid w:val="00DB325B"/>
    <w:rsid w:val="00DB344A"/>
    <w:rsid w:val="00DB7DEC"/>
    <w:rsid w:val="00DC38F0"/>
    <w:rsid w:val="00DC3DFF"/>
    <w:rsid w:val="00DC749C"/>
    <w:rsid w:val="00DD0E46"/>
    <w:rsid w:val="00DD4CCF"/>
    <w:rsid w:val="00DD50FA"/>
    <w:rsid w:val="00DE3961"/>
    <w:rsid w:val="00DE3B0B"/>
    <w:rsid w:val="00DE5E07"/>
    <w:rsid w:val="00DE67A8"/>
    <w:rsid w:val="00DE753F"/>
    <w:rsid w:val="00DF109A"/>
    <w:rsid w:val="00DF4078"/>
    <w:rsid w:val="00DF42CD"/>
    <w:rsid w:val="00DF50B2"/>
    <w:rsid w:val="00DF52B8"/>
    <w:rsid w:val="00DF7CCF"/>
    <w:rsid w:val="00E00C55"/>
    <w:rsid w:val="00E02AA2"/>
    <w:rsid w:val="00E06BA4"/>
    <w:rsid w:val="00E10B68"/>
    <w:rsid w:val="00E1491A"/>
    <w:rsid w:val="00E26DCF"/>
    <w:rsid w:val="00E319C6"/>
    <w:rsid w:val="00E31B4B"/>
    <w:rsid w:val="00E33993"/>
    <w:rsid w:val="00E36354"/>
    <w:rsid w:val="00E36FD2"/>
    <w:rsid w:val="00E447AB"/>
    <w:rsid w:val="00E4514D"/>
    <w:rsid w:val="00E46E37"/>
    <w:rsid w:val="00E530E4"/>
    <w:rsid w:val="00E54A0E"/>
    <w:rsid w:val="00E54E49"/>
    <w:rsid w:val="00E56D5D"/>
    <w:rsid w:val="00E60800"/>
    <w:rsid w:val="00E60F7D"/>
    <w:rsid w:val="00E70EFE"/>
    <w:rsid w:val="00E73187"/>
    <w:rsid w:val="00E7515B"/>
    <w:rsid w:val="00E75AB5"/>
    <w:rsid w:val="00E7777B"/>
    <w:rsid w:val="00E82196"/>
    <w:rsid w:val="00E94919"/>
    <w:rsid w:val="00E94E5A"/>
    <w:rsid w:val="00E9591A"/>
    <w:rsid w:val="00EA1E86"/>
    <w:rsid w:val="00EB12BD"/>
    <w:rsid w:val="00EB52B9"/>
    <w:rsid w:val="00EB7390"/>
    <w:rsid w:val="00EC4661"/>
    <w:rsid w:val="00EC7081"/>
    <w:rsid w:val="00ED1960"/>
    <w:rsid w:val="00ED512D"/>
    <w:rsid w:val="00EE23CD"/>
    <w:rsid w:val="00EE6009"/>
    <w:rsid w:val="00EE7D6E"/>
    <w:rsid w:val="00EF060C"/>
    <w:rsid w:val="00EF2F69"/>
    <w:rsid w:val="00EF34CD"/>
    <w:rsid w:val="00EF6BE4"/>
    <w:rsid w:val="00F00BBB"/>
    <w:rsid w:val="00F0114C"/>
    <w:rsid w:val="00F01462"/>
    <w:rsid w:val="00F037BD"/>
    <w:rsid w:val="00F0747A"/>
    <w:rsid w:val="00F07827"/>
    <w:rsid w:val="00F117A3"/>
    <w:rsid w:val="00F11C28"/>
    <w:rsid w:val="00F138D9"/>
    <w:rsid w:val="00F20A56"/>
    <w:rsid w:val="00F21B5D"/>
    <w:rsid w:val="00F2375E"/>
    <w:rsid w:val="00F23E8A"/>
    <w:rsid w:val="00F2560F"/>
    <w:rsid w:val="00F336CF"/>
    <w:rsid w:val="00F4171C"/>
    <w:rsid w:val="00F45D59"/>
    <w:rsid w:val="00F473A2"/>
    <w:rsid w:val="00F55B02"/>
    <w:rsid w:val="00F56F50"/>
    <w:rsid w:val="00F609BE"/>
    <w:rsid w:val="00F60BEE"/>
    <w:rsid w:val="00F613D2"/>
    <w:rsid w:val="00F62FD7"/>
    <w:rsid w:val="00F728F1"/>
    <w:rsid w:val="00F77539"/>
    <w:rsid w:val="00F77A73"/>
    <w:rsid w:val="00F804B4"/>
    <w:rsid w:val="00F825BB"/>
    <w:rsid w:val="00F8537E"/>
    <w:rsid w:val="00F8585A"/>
    <w:rsid w:val="00F916ED"/>
    <w:rsid w:val="00F92042"/>
    <w:rsid w:val="00F92CFF"/>
    <w:rsid w:val="00F92DA6"/>
    <w:rsid w:val="00FA5FF9"/>
    <w:rsid w:val="00FB6565"/>
    <w:rsid w:val="00FC06D2"/>
    <w:rsid w:val="00FC3D8B"/>
    <w:rsid w:val="00FC3FAE"/>
    <w:rsid w:val="00FC6F4D"/>
    <w:rsid w:val="00FD23A1"/>
    <w:rsid w:val="00FE27BE"/>
    <w:rsid w:val="00FE3CE0"/>
    <w:rsid w:val="00FE4E9C"/>
    <w:rsid w:val="00FF0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877FC1"/>
  <w15:docId w15:val="{1EDD722E-3E70-45FB-9860-71B8EC8A5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link w:val="Heading1Char"/>
    <w:uiPriority w:val="9"/>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customStyle="1" w:styleId="Heading1Char">
    <w:name w:val="Heading 1 Char"/>
    <w:basedOn w:val="DefaultParagraphFont"/>
    <w:link w:val="Heading1"/>
    <w:uiPriority w:val="9"/>
    <w:rsid w:val="00527471"/>
    <w:rPr>
      <w:rFonts w:eastAsia="SimSun"/>
      <w:b/>
      <w:kern w:val="2"/>
      <w:sz w:val="24"/>
      <w:szCs w:val="24"/>
      <w:lang w:val="en-US" w:eastAsia="zh-CN"/>
    </w:rPr>
  </w:style>
  <w:style w:type="paragraph" w:styleId="Bibliography">
    <w:name w:val="Bibliography"/>
    <w:basedOn w:val="Normal"/>
    <w:next w:val="Normal"/>
    <w:uiPriority w:val="37"/>
    <w:unhideWhenUsed/>
    <w:rsid w:val="00527471"/>
  </w:style>
  <w:style w:type="table" w:styleId="TableGrid">
    <w:name w:val="Table Grid"/>
    <w:basedOn w:val="TableNormal"/>
    <w:uiPriority w:val="59"/>
    <w:rsid w:val="0008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6217"/>
    <w:pPr>
      <w:spacing w:after="200"/>
    </w:pPr>
    <w:rPr>
      <w:i/>
      <w:iCs/>
      <w:color w:val="1F497D" w:themeColor="text2"/>
      <w:sz w:val="18"/>
      <w:szCs w:val="18"/>
    </w:rPr>
  </w:style>
  <w:style w:type="paragraph" w:styleId="Header">
    <w:name w:val="header"/>
    <w:basedOn w:val="Normal"/>
    <w:link w:val="HeaderChar"/>
    <w:uiPriority w:val="99"/>
    <w:unhideWhenUsed/>
    <w:rsid w:val="00095434"/>
    <w:pPr>
      <w:tabs>
        <w:tab w:val="center" w:pos="4513"/>
        <w:tab w:val="right" w:pos="9026"/>
      </w:tabs>
    </w:pPr>
  </w:style>
  <w:style w:type="character" w:customStyle="1" w:styleId="HeaderChar">
    <w:name w:val="Header Char"/>
    <w:basedOn w:val="DefaultParagraphFont"/>
    <w:link w:val="Header"/>
    <w:uiPriority w:val="99"/>
    <w:rsid w:val="00095434"/>
    <w:rPr>
      <w:rFonts w:ascii="Times" w:hAnsi="Times"/>
      <w:sz w:val="22"/>
      <w:lang w:eastAsia="en-US"/>
    </w:rPr>
  </w:style>
  <w:style w:type="paragraph" w:styleId="Footer">
    <w:name w:val="footer"/>
    <w:basedOn w:val="Normal"/>
    <w:link w:val="FooterChar"/>
    <w:uiPriority w:val="99"/>
    <w:unhideWhenUsed/>
    <w:rsid w:val="00095434"/>
    <w:pPr>
      <w:tabs>
        <w:tab w:val="center" w:pos="4513"/>
        <w:tab w:val="right" w:pos="9026"/>
      </w:tabs>
    </w:pPr>
  </w:style>
  <w:style w:type="character" w:customStyle="1" w:styleId="FooterChar">
    <w:name w:val="Footer Char"/>
    <w:basedOn w:val="DefaultParagraphFont"/>
    <w:link w:val="Footer"/>
    <w:uiPriority w:val="99"/>
    <w:rsid w:val="00095434"/>
    <w:rPr>
      <w:rFonts w:ascii="Times" w:hAnsi="Times"/>
      <w:sz w:val="22"/>
      <w:lang w:eastAsia="en-US"/>
    </w:rPr>
  </w:style>
  <w:style w:type="paragraph" w:styleId="ListParagraph">
    <w:name w:val="List Paragraph"/>
    <w:basedOn w:val="Normal"/>
    <w:uiPriority w:val="34"/>
    <w:qFormat/>
    <w:rsid w:val="00A33BA2"/>
    <w:pPr>
      <w:ind w:left="720"/>
      <w:contextualSpacing/>
    </w:pPr>
  </w:style>
  <w:style w:type="paragraph" w:customStyle="1" w:styleId="TableCaptionCentred">
    <w:name w:val="Table.Caption.Centred"/>
    <w:basedOn w:val="Normal"/>
    <w:autoRedefine/>
    <w:rsid w:val="0061240D"/>
    <w:pPr>
      <w:spacing w:after="120"/>
      <w:jc w:val="center"/>
    </w:pPr>
    <w:rPr>
      <w:color w:val="000000"/>
      <w:szCs w:val="22"/>
    </w:rPr>
  </w:style>
  <w:style w:type="paragraph" w:customStyle="1" w:styleId="BodyChar">
    <w:name w:val="Body Char"/>
    <w:link w:val="BodyCharChar"/>
    <w:rsid w:val="00A3551D"/>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A3551D"/>
    <w:rPr>
      <w:rFonts w:ascii="Times" w:hAnsi="Times"/>
      <w:color w:val="000000"/>
      <w:sz w:val="22"/>
      <w:szCs w:val="22"/>
      <w:lang w:eastAsia="en-US"/>
    </w:rPr>
  </w:style>
  <w:style w:type="character" w:styleId="CommentReference">
    <w:name w:val="annotation reference"/>
    <w:basedOn w:val="DefaultParagraphFont"/>
    <w:uiPriority w:val="99"/>
    <w:semiHidden/>
    <w:unhideWhenUsed/>
    <w:rsid w:val="002D28FF"/>
    <w:rPr>
      <w:sz w:val="16"/>
      <w:szCs w:val="16"/>
    </w:rPr>
  </w:style>
  <w:style w:type="paragraph" w:styleId="CommentText">
    <w:name w:val="annotation text"/>
    <w:basedOn w:val="Normal"/>
    <w:link w:val="CommentTextChar"/>
    <w:uiPriority w:val="99"/>
    <w:semiHidden/>
    <w:unhideWhenUsed/>
    <w:rsid w:val="002D28FF"/>
    <w:rPr>
      <w:sz w:val="20"/>
    </w:rPr>
  </w:style>
  <w:style w:type="character" w:customStyle="1" w:styleId="CommentTextChar">
    <w:name w:val="Comment Text Char"/>
    <w:basedOn w:val="DefaultParagraphFont"/>
    <w:link w:val="CommentText"/>
    <w:uiPriority w:val="99"/>
    <w:semiHidden/>
    <w:rsid w:val="002D28FF"/>
    <w:rPr>
      <w:rFonts w:ascii="Times" w:hAnsi="Times"/>
      <w:lang w:eastAsia="en-US"/>
    </w:rPr>
  </w:style>
  <w:style w:type="paragraph" w:styleId="CommentSubject">
    <w:name w:val="annotation subject"/>
    <w:basedOn w:val="CommentText"/>
    <w:next w:val="CommentText"/>
    <w:link w:val="CommentSubjectChar"/>
    <w:uiPriority w:val="99"/>
    <w:semiHidden/>
    <w:unhideWhenUsed/>
    <w:rsid w:val="002D28FF"/>
    <w:rPr>
      <w:b/>
      <w:bCs/>
    </w:rPr>
  </w:style>
  <w:style w:type="character" w:customStyle="1" w:styleId="CommentSubjectChar">
    <w:name w:val="Comment Subject Char"/>
    <w:basedOn w:val="CommentTextChar"/>
    <w:link w:val="CommentSubject"/>
    <w:uiPriority w:val="99"/>
    <w:semiHidden/>
    <w:rsid w:val="002D28FF"/>
    <w:rPr>
      <w:rFonts w:ascii="Times" w:hAnsi="Times"/>
      <w:b/>
      <w:bCs/>
      <w:lang w:eastAsia="en-US"/>
    </w:rPr>
  </w:style>
  <w:style w:type="paragraph" w:styleId="BalloonText">
    <w:name w:val="Balloon Text"/>
    <w:basedOn w:val="Normal"/>
    <w:link w:val="BalloonTextChar"/>
    <w:uiPriority w:val="99"/>
    <w:semiHidden/>
    <w:unhideWhenUsed/>
    <w:rsid w:val="002D28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F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8626">
      <w:bodyDiv w:val="1"/>
      <w:marLeft w:val="0"/>
      <w:marRight w:val="0"/>
      <w:marTop w:val="0"/>
      <w:marBottom w:val="0"/>
      <w:divBdr>
        <w:top w:val="none" w:sz="0" w:space="0" w:color="auto"/>
        <w:left w:val="none" w:sz="0" w:space="0" w:color="auto"/>
        <w:bottom w:val="none" w:sz="0" w:space="0" w:color="auto"/>
        <w:right w:val="none" w:sz="0" w:space="0" w:color="auto"/>
      </w:divBdr>
    </w:div>
    <w:div w:id="74055997">
      <w:bodyDiv w:val="1"/>
      <w:marLeft w:val="0"/>
      <w:marRight w:val="0"/>
      <w:marTop w:val="0"/>
      <w:marBottom w:val="0"/>
      <w:divBdr>
        <w:top w:val="none" w:sz="0" w:space="0" w:color="auto"/>
        <w:left w:val="none" w:sz="0" w:space="0" w:color="auto"/>
        <w:bottom w:val="none" w:sz="0" w:space="0" w:color="auto"/>
        <w:right w:val="none" w:sz="0" w:space="0" w:color="auto"/>
      </w:divBdr>
    </w:div>
    <w:div w:id="571358680">
      <w:bodyDiv w:val="1"/>
      <w:marLeft w:val="0"/>
      <w:marRight w:val="0"/>
      <w:marTop w:val="0"/>
      <w:marBottom w:val="0"/>
      <w:divBdr>
        <w:top w:val="none" w:sz="0" w:space="0" w:color="auto"/>
        <w:left w:val="none" w:sz="0" w:space="0" w:color="auto"/>
        <w:bottom w:val="none" w:sz="0" w:space="0" w:color="auto"/>
        <w:right w:val="none" w:sz="0" w:space="0" w:color="auto"/>
      </w:divBdr>
    </w:div>
    <w:div w:id="1117411251">
      <w:bodyDiv w:val="1"/>
      <w:marLeft w:val="0"/>
      <w:marRight w:val="0"/>
      <w:marTop w:val="0"/>
      <w:marBottom w:val="0"/>
      <w:divBdr>
        <w:top w:val="none" w:sz="0" w:space="0" w:color="auto"/>
        <w:left w:val="none" w:sz="0" w:space="0" w:color="auto"/>
        <w:bottom w:val="none" w:sz="0" w:space="0" w:color="auto"/>
        <w:right w:val="none" w:sz="0" w:space="0" w:color="auto"/>
      </w:divBdr>
    </w:div>
    <w:div w:id="1729954128">
      <w:bodyDiv w:val="1"/>
      <w:marLeft w:val="0"/>
      <w:marRight w:val="0"/>
      <w:marTop w:val="0"/>
      <w:marBottom w:val="0"/>
      <w:divBdr>
        <w:top w:val="none" w:sz="0" w:space="0" w:color="auto"/>
        <w:left w:val="none" w:sz="0" w:space="0" w:color="auto"/>
        <w:bottom w:val="none" w:sz="0" w:space="0" w:color="auto"/>
        <w:right w:val="none" w:sz="0" w:space="0" w:color="auto"/>
      </w:divBdr>
    </w:div>
    <w:div w:id="209165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rdamdam%20Sasmita\Desktop\Grafi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irdamdam%20Sasmita\Desktop\Graf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rdamdam%20Sasmita\Desktop\Grafi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irdamdam%20Sasmita\Desktop\Grafi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Firdamdam%20Sasmita\Desktop\Grafik.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Based on Publication Year</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scatterChart>
        <c:scatterStyle val="lineMarker"/>
        <c:varyColors val="0"/>
        <c:ser>
          <c:idx val="0"/>
          <c:order val="0"/>
          <c:tx>
            <c:strRef>
              <c:f>Sheet1!$B$1</c:f>
              <c:strCache>
                <c:ptCount val="1"/>
                <c:pt idx="0">
                  <c:v>Hasil Persentase</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dLbls>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8DC2-4797-96F7-30B77E4DA681}"/>
                </c:ext>
              </c:extLst>
            </c:dLbl>
            <c:dLbl>
              <c:idx val="1"/>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6="http://schemas.microsoft.com/office/drawing/2014/chart" uri="{C3380CC4-5D6E-409C-BE32-E72D297353CC}">
                  <c16:uniqueId val="{00000000-8708-4112-8AEA-C8DCC1F938F7}"/>
                </c:ext>
              </c:extLst>
            </c:dLbl>
            <c:dLbl>
              <c:idx val="2"/>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6="http://schemas.microsoft.com/office/drawing/2014/chart" uri="{C3380CC4-5D6E-409C-BE32-E72D297353CC}">
                  <c16:uniqueId val="{00000001-8708-4112-8AEA-C8DCC1F938F7}"/>
                </c:ext>
              </c:extLst>
            </c:dLbl>
            <c:dLbl>
              <c:idx val="3"/>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6="http://schemas.microsoft.com/office/drawing/2014/chart" uri="{C3380CC4-5D6E-409C-BE32-E72D297353CC}">
                  <c16:uniqueId val="{00000002-8708-4112-8AEA-C8DCC1F938F7}"/>
                </c:ext>
              </c:extLst>
            </c:dLbl>
            <c:dLbl>
              <c:idx val="4"/>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6="http://schemas.microsoft.com/office/drawing/2014/chart" uri="{C3380CC4-5D6E-409C-BE32-E72D297353CC}">
                  <c16:uniqueId val="{00000003-8708-4112-8AEA-C8DCC1F938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xVal>
            <c:numRef>
              <c:f>Sheet1!$A$2:$A$6</c:f>
              <c:numCache>
                <c:formatCode>General</c:formatCode>
                <c:ptCount val="5"/>
                <c:pt idx="0">
                  <c:v>2015</c:v>
                </c:pt>
                <c:pt idx="1">
                  <c:v>2016</c:v>
                </c:pt>
                <c:pt idx="2">
                  <c:v>2017</c:v>
                </c:pt>
                <c:pt idx="3">
                  <c:v>2018</c:v>
                </c:pt>
                <c:pt idx="4">
                  <c:v>2019</c:v>
                </c:pt>
              </c:numCache>
            </c:numRef>
          </c:xVal>
          <c:yVal>
            <c:numRef>
              <c:f>Sheet1!$B$2:$B$6</c:f>
              <c:numCache>
                <c:formatCode>General</c:formatCode>
                <c:ptCount val="5"/>
                <c:pt idx="0">
                  <c:v>10</c:v>
                </c:pt>
                <c:pt idx="1">
                  <c:v>13.333333333333334</c:v>
                </c:pt>
                <c:pt idx="2">
                  <c:v>20</c:v>
                </c:pt>
                <c:pt idx="3">
                  <c:v>26.666666666666668</c:v>
                </c:pt>
                <c:pt idx="4">
                  <c:v>30</c:v>
                </c:pt>
              </c:numCache>
            </c:numRef>
          </c:yVal>
          <c:smooth val="0"/>
          <c:extLst>
            <c:ext xmlns:c16="http://schemas.microsoft.com/office/drawing/2014/chart" uri="{C3380CC4-5D6E-409C-BE32-E72D297353CC}">
              <c16:uniqueId val="{00000005-8DC2-4797-96F7-30B77E4DA681}"/>
            </c:ext>
          </c:extLst>
        </c:ser>
        <c:dLbls>
          <c:dLblPos val="t"/>
          <c:showLegendKey val="0"/>
          <c:showVal val="1"/>
          <c:showCatName val="0"/>
          <c:showSerName val="0"/>
          <c:showPercent val="0"/>
          <c:showBubbleSize val="0"/>
        </c:dLbls>
        <c:axId val="1131317680"/>
        <c:axId val="1131313328"/>
      </c:scatterChart>
      <c:valAx>
        <c:axId val="1131317680"/>
        <c:scaling>
          <c:orientation val="minMax"/>
          <c:min val="2014"/>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1313328"/>
        <c:crosses val="autoZero"/>
        <c:crossBetween val="midCat"/>
      </c:valAx>
      <c:valAx>
        <c:axId val="1131313328"/>
        <c:scaling>
          <c:orientation val="minMax"/>
          <c:max val="35"/>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Percentage Level</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1317680"/>
        <c:crosses val="autoZero"/>
        <c:crossBetween val="midCat"/>
        <c:dispUnits>
          <c:builtInUnit val="hundreds"/>
        </c:dispUnits>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D"/>
              <a:t>Based on Sample Size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1"/>
              <c:layout>
                <c:manualLayout>
                  <c:x val="0"/>
                  <c:y val="-0.1259842519685039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DCE-42B4-A350-8C5EFBC44ED7}"/>
                </c:ext>
              </c:extLst>
            </c:dLbl>
            <c:dLbl>
              <c:idx val="2"/>
              <c:layout>
                <c:manualLayout>
                  <c:x val="0"/>
                  <c:y val="-0.20997375328083989"/>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DCE-42B4-A350-8C5EFBC44ED7}"/>
                </c:ext>
              </c:extLst>
            </c:dLbl>
            <c:dLbl>
              <c:idx val="4"/>
              <c:layout>
                <c:manualLayout>
                  <c:x val="0"/>
                  <c:y val="-0.1259842519685039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DCE-42B4-A350-8C5EFBC44ED7}"/>
                </c:ext>
              </c:extLst>
            </c:dLbl>
            <c:dLbl>
              <c:idx val="6"/>
              <c:layout>
                <c:manualLayout>
                  <c:x val="0"/>
                  <c:y val="-0.12598425196850405"/>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DCE-42B4-A350-8C5EFBC44ED7}"/>
                </c:ext>
              </c:extLst>
            </c:dLbl>
            <c:dLbl>
              <c:idx val="7"/>
              <c:layout>
                <c:manualLayout>
                  <c:x val="0"/>
                  <c:y val="-0.1784776902887140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DCE-42B4-A350-8C5EFBC44ED7}"/>
                </c:ext>
              </c:extLst>
            </c:dLbl>
            <c:dLbl>
              <c:idx val="10"/>
              <c:layout>
                <c:manualLayout>
                  <c:x val="0"/>
                  <c:y val="-0.1102362204724409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DCE-42B4-A350-8C5EFBC44ED7}"/>
                </c:ext>
              </c:extLst>
            </c:dLbl>
            <c:dLbl>
              <c:idx val="12"/>
              <c:layout>
                <c:manualLayout>
                  <c:x val="0"/>
                  <c:y val="-7.874015748031505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DCE-42B4-A350-8C5EFBC44ED7}"/>
                </c:ext>
              </c:extLst>
            </c:dLbl>
            <c:dLbl>
              <c:idx val="21"/>
              <c:layout>
                <c:manualLayout>
                  <c:x val="0"/>
                  <c:y val="-0.1259842519685039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DCE-42B4-A350-8C5EFBC44ED7}"/>
                </c:ext>
              </c:extLst>
            </c:dLbl>
            <c:dLbl>
              <c:idx val="22"/>
              <c:layout>
                <c:manualLayout>
                  <c:x val="-9.4197156313673933E-17"/>
                  <c:y val="-7.874015748031486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DCE-42B4-A350-8C5EFBC44ED7}"/>
                </c:ext>
              </c:extLst>
            </c:dLbl>
            <c:dLbl>
              <c:idx val="24"/>
              <c:layout>
                <c:manualLayout>
                  <c:x val="0"/>
                  <c:y val="-8.398950131233605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DCE-42B4-A350-8C5EFBC44ED7}"/>
                </c:ext>
              </c:extLst>
            </c:dLbl>
            <c:dLbl>
              <c:idx val="27"/>
              <c:layout>
                <c:manualLayout>
                  <c:x val="0"/>
                  <c:y val="-0.10498687664041995"/>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DCE-42B4-A350-8C5EFBC44ED7}"/>
                </c:ext>
              </c:extLst>
            </c:dLbl>
            <c:dLbl>
              <c:idx val="28"/>
              <c:layout>
                <c:manualLayout>
                  <c:x val="0"/>
                  <c:y val="-0.1732283464566930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DCE-42B4-A350-8C5EFBC44E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Sheet1!$A$21:$A$50</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cat>
          <c:val>
            <c:numRef>
              <c:f>Sheet1!$B$21:$B$50</c:f>
              <c:numCache>
                <c:formatCode>General</c:formatCode>
                <c:ptCount val="30"/>
                <c:pt idx="0">
                  <c:v>855</c:v>
                </c:pt>
                <c:pt idx="1">
                  <c:v>230</c:v>
                </c:pt>
                <c:pt idx="2">
                  <c:v>145</c:v>
                </c:pt>
                <c:pt idx="3">
                  <c:v>1169</c:v>
                </c:pt>
                <c:pt idx="4">
                  <c:v>82</c:v>
                </c:pt>
                <c:pt idx="5">
                  <c:v>76</c:v>
                </c:pt>
                <c:pt idx="6">
                  <c:v>85</c:v>
                </c:pt>
                <c:pt idx="7">
                  <c:v>1169</c:v>
                </c:pt>
                <c:pt idx="8">
                  <c:v>360</c:v>
                </c:pt>
                <c:pt idx="9">
                  <c:v>2635</c:v>
                </c:pt>
                <c:pt idx="10">
                  <c:v>1972</c:v>
                </c:pt>
                <c:pt idx="11">
                  <c:v>12477</c:v>
                </c:pt>
                <c:pt idx="12">
                  <c:v>18</c:v>
                </c:pt>
                <c:pt idx="13">
                  <c:v>330</c:v>
                </c:pt>
                <c:pt idx="14">
                  <c:v>3757</c:v>
                </c:pt>
                <c:pt idx="15">
                  <c:v>1445</c:v>
                </c:pt>
                <c:pt idx="16">
                  <c:v>0</c:v>
                </c:pt>
                <c:pt idx="17">
                  <c:v>6358</c:v>
                </c:pt>
                <c:pt idx="18">
                  <c:v>0</c:v>
                </c:pt>
                <c:pt idx="19">
                  <c:v>0</c:v>
                </c:pt>
                <c:pt idx="20">
                  <c:v>28</c:v>
                </c:pt>
                <c:pt idx="21">
                  <c:v>83</c:v>
                </c:pt>
                <c:pt idx="22">
                  <c:v>155</c:v>
                </c:pt>
                <c:pt idx="23">
                  <c:v>0</c:v>
                </c:pt>
                <c:pt idx="24">
                  <c:v>126</c:v>
                </c:pt>
                <c:pt idx="25">
                  <c:v>0</c:v>
                </c:pt>
                <c:pt idx="26">
                  <c:v>0</c:v>
                </c:pt>
                <c:pt idx="27">
                  <c:v>175</c:v>
                </c:pt>
                <c:pt idx="28">
                  <c:v>210</c:v>
                </c:pt>
                <c:pt idx="29">
                  <c:v>0</c:v>
                </c:pt>
              </c:numCache>
            </c:numRef>
          </c:val>
          <c:extLst>
            <c:ext xmlns:c16="http://schemas.microsoft.com/office/drawing/2014/chart" uri="{C3380CC4-5D6E-409C-BE32-E72D297353CC}">
              <c16:uniqueId val="{0000000C-0DCE-42B4-A350-8C5EFBC44ED7}"/>
            </c:ext>
          </c:extLst>
        </c:ser>
        <c:dLbls>
          <c:dLblPos val="outEnd"/>
          <c:showLegendKey val="0"/>
          <c:showVal val="1"/>
          <c:showCatName val="0"/>
          <c:showSerName val="0"/>
          <c:showPercent val="0"/>
          <c:showBubbleSize val="0"/>
        </c:dLbls>
        <c:gapWidth val="267"/>
        <c:overlap val="-43"/>
        <c:axId val="1131516576"/>
        <c:axId val="1131519296"/>
      </c:barChart>
      <c:catAx>
        <c:axId val="11315165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Article Number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31519296"/>
        <c:crosses val="autoZero"/>
        <c:auto val="1"/>
        <c:lblAlgn val="ctr"/>
        <c:lblOffset val="100"/>
        <c:noMultiLvlLbl val="0"/>
      </c:catAx>
      <c:valAx>
        <c:axId val="11315192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Sample</a:t>
                </a:r>
                <a:r>
                  <a:rPr lang="en-ID" baseline="0"/>
                  <a:t> Size</a:t>
                </a:r>
                <a:endParaRPr lang="en-ID"/>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151657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Based on Article Context</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Sheet1!$B$54:$B$72</c:f>
              <c:strCache>
                <c:ptCount val="19"/>
                <c:pt idx="0">
                  <c:v>prediction student performance</c:v>
                </c:pt>
                <c:pt idx="1">
                  <c:v>automatic machine assesment</c:v>
                </c:pt>
                <c:pt idx="2">
                  <c:v>predicting student GPA</c:v>
                </c:pt>
                <c:pt idx="3">
                  <c:v>automated analysis</c:v>
                </c:pt>
                <c:pt idx="4">
                  <c:v>predicting student action</c:v>
                </c:pt>
                <c:pt idx="5">
                  <c:v>automated scoring</c:v>
                </c:pt>
                <c:pt idx="6">
                  <c:v>mining data</c:v>
                </c:pt>
                <c:pt idx="7">
                  <c:v>prediction of academic achievement</c:v>
                </c:pt>
                <c:pt idx="8">
                  <c:v>academic decision</c:v>
                </c:pt>
                <c:pt idx="9">
                  <c:v>learning analytics</c:v>
                </c:pt>
                <c:pt idx="10">
                  <c:v>academic guidance</c:v>
                </c:pt>
                <c:pt idx="11">
                  <c:v>prediction of educational institution</c:v>
                </c:pt>
                <c:pt idx="12">
                  <c:v>student placement prediction</c:v>
                </c:pt>
                <c:pt idx="13">
                  <c:v>machine learning education</c:v>
                </c:pt>
                <c:pt idx="14">
                  <c:v>ethics in machine learning</c:v>
                </c:pt>
                <c:pt idx="15">
                  <c:v>student collaborative</c:v>
                </c:pt>
                <c:pt idx="16">
                  <c:v>student behaviours</c:v>
                </c:pt>
                <c:pt idx="17">
                  <c:v>self-assessment</c:v>
                </c:pt>
                <c:pt idx="18">
                  <c:v>feedback prediction</c:v>
                </c:pt>
              </c:strCache>
            </c:strRef>
          </c:cat>
          <c:val>
            <c:numRef>
              <c:f>Sheet1!$C$54:$C$72</c:f>
              <c:numCache>
                <c:formatCode>General</c:formatCode>
                <c:ptCount val="19"/>
                <c:pt idx="0">
                  <c:v>10</c:v>
                </c:pt>
                <c:pt idx="1">
                  <c:v>1</c:v>
                </c:pt>
                <c:pt idx="2">
                  <c:v>1</c:v>
                </c:pt>
                <c:pt idx="3">
                  <c:v>1</c:v>
                </c:pt>
                <c:pt idx="4">
                  <c:v>1</c:v>
                </c:pt>
                <c:pt idx="5">
                  <c:v>1</c:v>
                </c:pt>
                <c:pt idx="6">
                  <c:v>1</c:v>
                </c:pt>
                <c:pt idx="7">
                  <c:v>1</c:v>
                </c:pt>
                <c:pt idx="8">
                  <c:v>1</c:v>
                </c:pt>
                <c:pt idx="9">
                  <c:v>2</c:v>
                </c:pt>
                <c:pt idx="10">
                  <c:v>1</c:v>
                </c:pt>
                <c:pt idx="11">
                  <c:v>1</c:v>
                </c:pt>
                <c:pt idx="12">
                  <c:v>1</c:v>
                </c:pt>
                <c:pt idx="13">
                  <c:v>1</c:v>
                </c:pt>
                <c:pt idx="14">
                  <c:v>1</c:v>
                </c:pt>
                <c:pt idx="15">
                  <c:v>1</c:v>
                </c:pt>
                <c:pt idx="16">
                  <c:v>1</c:v>
                </c:pt>
                <c:pt idx="17">
                  <c:v>1</c:v>
                </c:pt>
                <c:pt idx="18">
                  <c:v>1</c:v>
                </c:pt>
              </c:numCache>
            </c:numRef>
          </c:val>
          <c:extLst>
            <c:ext xmlns:c16="http://schemas.microsoft.com/office/drawing/2014/chart" uri="{C3380CC4-5D6E-409C-BE32-E72D297353CC}">
              <c16:uniqueId val="{00000000-C921-487D-9A35-78F1FCFEDF18}"/>
            </c:ext>
          </c:extLst>
        </c:ser>
        <c:dLbls>
          <c:dLblPos val="outEnd"/>
          <c:showLegendKey val="0"/>
          <c:showVal val="1"/>
          <c:showCatName val="0"/>
          <c:showSerName val="0"/>
          <c:showPercent val="0"/>
          <c:showBubbleSize val="0"/>
        </c:dLbls>
        <c:gapWidth val="247"/>
        <c:axId val="1131519840"/>
        <c:axId val="1131516032"/>
      </c:barChart>
      <c:catAx>
        <c:axId val="113151984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Article Context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31516032"/>
        <c:crosses val="autoZero"/>
        <c:auto val="1"/>
        <c:lblAlgn val="ctr"/>
        <c:lblOffset val="100"/>
        <c:noMultiLvlLbl val="0"/>
      </c:catAx>
      <c:valAx>
        <c:axId val="113151603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Article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151984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D"/>
              <a:t>Based on Machine Learning Method</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Sheet1!$L$148:$L$177</c:f>
              <c:strCache>
                <c:ptCount val="30"/>
                <c:pt idx="0">
                  <c:v>Deep Neural Network</c:v>
                </c:pt>
                <c:pt idx="1">
                  <c:v>Hierarchical Regression</c:v>
                </c:pt>
                <c:pt idx="2">
                  <c:v>Multiple Regression</c:v>
                </c:pt>
                <c:pt idx="3">
                  <c:v>Data-driven Course Clustering</c:v>
                </c:pt>
                <c:pt idx="4">
                  <c:v>Maximum Weight Dependencies Trees</c:v>
                </c:pt>
                <c:pt idx="5">
                  <c:v>Random Forest</c:v>
                </c:pt>
                <c:pt idx="6">
                  <c:v>Xmeans</c:v>
                </c:pt>
                <c:pt idx="7">
                  <c:v>Expectation Maximization</c:v>
                </c:pt>
                <c:pt idx="8">
                  <c:v>Microsoft Sequence Clustering</c:v>
                </c:pt>
                <c:pt idx="9">
                  <c:v>Probabilistic Matrix Factorization</c:v>
                </c:pt>
                <c:pt idx="10">
                  <c:v>Support Vector Machine</c:v>
                </c:pt>
                <c:pt idx="11">
                  <c:v>K-Means Clustering</c:v>
                </c:pt>
                <c:pt idx="12">
                  <c:v>Artificial Neural Networks</c:v>
                </c:pt>
                <c:pt idx="13">
                  <c:v>Naïve Bayes</c:v>
                </c:pt>
                <c:pt idx="14">
                  <c:v>Logistic Regression</c:v>
                </c:pt>
                <c:pt idx="15">
                  <c:v>Support Vector Machine with Linear Kernel</c:v>
                </c:pt>
                <c:pt idx="16">
                  <c:v>Support Vector Machine for Regression</c:v>
                </c:pt>
                <c:pt idx="17">
                  <c:v>Decision Tree</c:v>
                </c:pt>
                <c:pt idx="18">
                  <c:v>Linear Regression</c:v>
                </c:pt>
                <c:pt idx="19">
                  <c:v>Tree Ensemble</c:v>
                </c:pt>
                <c:pt idx="20">
                  <c:v>Rprop Multi Layer Perceptron</c:v>
                </c:pt>
                <c:pt idx="21">
                  <c:v>Binomial Logistic Regression</c:v>
                </c:pt>
                <c:pt idx="22">
                  <c:v>Recursive Partitioning &amp; Regression Tree</c:v>
                </c:pt>
                <c:pt idx="23">
                  <c:v>Conditional Inference Tree</c:v>
                </c:pt>
                <c:pt idx="24">
                  <c:v>Gradual At-Risk</c:v>
                </c:pt>
                <c:pt idx="25">
                  <c:v>Non-Linear Least Square</c:v>
                </c:pt>
                <c:pt idx="26">
                  <c:v>Random Forest Regression</c:v>
                </c:pt>
                <c:pt idx="27">
                  <c:v>Multi Layer Perceptron</c:v>
                </c:pt>
                <c:pt idx="28">
                  <c:v>Self-Organizing Map</c:v>
                </c:pt>
                <c:pt idx="29">
                  <c:v>C4.5</c:v>
                </c:pt>
              </c:strCache>
            </c:strRef>
          </c:cat>
          <c:val>
            <c:numRef>
              <c:f>Sheet1!$M$148:$M$177</c:f>
              <c:numCache>
                <c:formatCode>General</c:formatCode>
                <c:ptCount val="30"/>
                <c:pt idx="0">
                  <c:v>2</c:v>
                </c:pt>
                <c:pt idx="1">
                  <c:v>1</c:v>
                </c:pt>
                <c:pt idx="2">
                  <c:v>2</c:v>
                </c:pt>
                <c:pt idx="3">
                  <c:v>1</c:v>
                </c:pt>
                <c:pt idx="4">
                  <c:v>1</c:v>
                </c:pt>
                <c:pt idx="5">
                  <c:v>5</c:v>
                </c:pt>
                <c:pt idx="6">
                  <c:v>1</c:v>
                </c:pt>
                <c:pt idx="7">
                  <c:v>1</c:v>
                </c:pt>
                <c:pt idx="8">
                  <c:v>1</c:v>
                </c:pt>
                <c:pt idx="9">
                  <c:v>1</c:v>
                </c:pt>
                <c:pt idx="10">
                  <c:v>2</c:v>
                </c:pt>
                <c:pt idx="11">
                  <c:v>1</c:v>
                </c:pt>
                <c:pt idx="12">
                  <c:v>4</c:v>
                </c:pt>
                <c:pt idx="13">
                  <c:v>4</c:v>
                </c:pt>
                <c:pt idx="14">
                  <c:v>4</c:v>
                </c:pt>
                <c:pt idx="15">
                  <c:v>1</c:v>
                </c:pt>
                <c:pt idx="16">
                  <c:v>1</c:v>
                </c:pt>
                <c:pt idx="17">
                  <c:v>5</c:v>
                </c:pt>
                <c:pt idx="18">
                  <c:v>1</c:v>
                </c:pt>
                <c:pt idx="19">
                  <c:v>1</c:v>
                </c:pt>
                <c:pt idx="20">
                  <c:v>1</c:v>
                </c:pt>
                <c:pt idx="21">
                  <c:v>1</c:v>
                </c:pt>
                <c:pt idx="22">
                  <c:v>1</c:v>
                </c:pt>
                <c:pt idx="23">
                  <c:v>1</c:v>
                </c:pt>
                <c:pt idx="24">
                  <c:v>1</c:v>
                </c:pt>
                <c:pt idx="25">
                  <c:v>1</c:v>
                </c:pt>
                <c:pt idx="26">
                  <c:v>1</c:v>
                </c:pt>
                <c:pt idx="27">
                  <c:v>1</c:v>
                </c:pt>
                <c:pt idx="28">
                  <c:v>1</c:v>
                </c:pt>
                <c:pt idx="29">
                  <c:v>1</c:v>
                </c:pt>
              </c:numCache>
            </c:numRef>
          </c:val>
          <c:extLst>
            <c:ext xmlns:c16="http://schemas.microsoft.com/office/drawing/2014/chart" uri="{C3380CC4-5D6E-409C-BE32-E72D297353CC}">
              <c16:uniqueId val="{00000000-79FC-4FDB-92D6-E332723FB3C1}"/>
            </c:ext>
          </c:extLst>
        </c:ser>
        <c:dLbls>
          <c:dLblPos val="outEnd"/>
          <c:showLegendKey val="0"/>
          <c:showVal val="1"/>
          <c:showCatName val="0"/>
          <c:showSerName val="0"/>
          <c:showPercent val="0"/>
          <c:showBubbleSize val="0"/>
        </c:dLbls>
        <c:gapWidth val="247"/>
        <c:axId val="1131514400"/>
        <c:axId val="1131518208"/>
      </c:barChart>
      <c:catAx>
        <c:axId val="113151440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Machine Learning Method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31518208"/>
        <c:crosses val="autoZero"/>
        <c:auto val="1"/>
        <c:lblAlgn val="ctr"/>
        <c:lblOffset val="100"/>
        <c:noMultiLvlLbl val="0"/>
      </c:catAx>
      <c:valAx>
        <c:axId val="11315182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Total of Machine Learning Method</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15144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D"/>
              <a:t>Based on Basic Findings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Sheet1!$M$178</c:f>
              <c:strCache>
                <c:ptCount val="1"/>
                <c:pt idx="0">
                  <c:v>Positif</c:v>
                </c:pt>
              </c:strCache>
            </c:strRef>
          </c:tx>
          <c:spPr>
            <a:solidFill>
              <a:schemeClr val="accent1"/>
            </a:solidFill>
            <a:ln>
              <a:noFill/>
            </a:ln>
            <a:effectLst/>
          </c:spPr>
          <c:invertIfNegative val="0"/>
          <c:cat>
            <c:strRef>
              <c:f>Sheet1!$L$179:$L$208</c:f>
              <c:strCache>
                <c:ptCount val="30"/>
                <c:pt idx="0">
                  <c:v>Deep Neural Network</c:v>
                </c:pt>
                <c:pt idx="1">
                  <c:v>Hierarchical Regression</c:v>
                </c:pt>
                <c:pt idx="2">
                  <c:v>Multiple Regression</c:v>
                </c:pt>
                <c:pt idx="3">
                  <c:v>Data-driven Course Clustering</c:v>
                </c:pt>
                <c:pt idx="4">
                  <c:v>Maximum Weight Dependencies Trees</c:v>
                </c:pt>
                <c:pt idx="5">
                  <c:v>Random Forest</c:v>
                </c:pt>
                <c:pt idx="6">
                  <c:v>Xmeans</c:v>
                </c:pt>
                <c:pt idx="7">
                  <c:v>Expectation Maximization</c:v>
                </c:pt>
                <c:pt idx="8">
                  <c:v>Microsoft Sequence Clustering</c:v>
                </c:pt>
                <c:pt idx="9">
                  <c:v>Probabilistic Matrix Factorization</c:v>
                </c:pt>
                <c:pt idx="10">
                  <c:v>Support Vector Machine</c:v>
                </c:pt>
                <c:pt idx="11">
                  <c:v>K-Means Clustering</c:v>
                </c:pt>
                <c:pt idx="12">
                  <c:v>Artificial Neural Networks</c:v>
                </c:pt>
                <c:pt idx="13">
                  <c:v>Naïve Bayes</c:v>
                </c:pt>
                <c:pt idx="14">
                  <c:v>Logistic Regression</c:v>
                </c:pt>
                <c:pt idx="15">
                  <c:v>Support Vector Machine with Linear Kernel</c:v>
                </c:pt>
                <c:pt idx="16">
                  <c:v>Support Vector Machine for Regression</c:v>
                </c:pt>
                <c:pt idx="17">
                  <c:v>Decision Tree</c:v>
                </c:pt>
                <c:pt idx="18">
                  <c:v>Linear Regression</c:v>
                </c:pt>
                <c:pt idx="19">
                  <c:v>Tree Ensemble</c:v>
                </c:pt>
                <c:pt idx="20">
                  <c:v>Rprop Multi Layer Perceptron</c:v>
                </c:pt>
                <c:pt idx="21">
                  <c:v>Binomial Logistic Regression</c:v>
                </c:pt>
                <c:pt idx="22">
                  <c:v>Recursive Partitioning &amp; Regression Tree</c:v>
                </c:pt>
                <c:pt idx="23">
                  <c:v>Conditional Inference Tree</c:v>
                </c:pt>
                <c:pt idx="24">
                  <c:v>Gradual At-Risk</c:v>
                </c:pt>
                <c:pt idx="25">
                  <c:v>Non-Linear Least Square</c:v>
                </c:pt>
                <c:pt idx="26">
                  <c:v>Random Forest Regression</c:v>
                </c:pt>
                <c:pt idx="27">
                  <c:v>Multi Layer Perceptron</c:v>
                </c:pt>
                <c:pt idx="28">
                  <c:v>Self-Organizing Map</c:v>
                </c:pt>
                <c:pt idx="29">
                  <c:v>C4.5</c:v>
                </c:pt>
              </c:strCache>
            </c:strRef>
          </c:cat>
          <c:val>
            <c:numRef>
              <c:f>Sheet1!$M$179:$M$208</c:f>
              <c:numCache>
                <c:formatCode>General</c:formatCode>
                <c:ptCount val="30"/>
                <c:pt idx="0">
                  <c:v>2</c:v>
                </c:pt>
                <c:pt idx="1">
                  <c:v>1</c:v>
                </c:pt>
                <c:pt idx="2">
                  <c:v>2</c:v>
                </c:pt>
                <c:pt idx="3">
                  <c:v>1</c:v>
                </c:pt>
                <c:pt idx="4">
                  <c:v>1</c:v>
                </c:pt>
                <c:pt idx="5">
                  <c:v>4</c:v>
                </c:pt>
                <c:pt idx="6">
                  <c:v>1</c:v>
                </c:pt>
                <c:pt idx="7">
                  <c:v>1</c:v>
                </c:pt>
                <c:pt idx="8">
                  <c:v>1</c:v>
                </c:pt>
                <c:pt idx="9">
                  <c:v>1</c:v>
                </c:pt>
                <c:pt idx="10">
                  <c:v>2</c:v>
                </c:pt>
                <c:pt idx="11">
                  <c:v>1</c:v>
                </c:pt>
                <c:pt idx="12">
                  <c:v>3</c:v>
                </c:pt>
                <c:pt idx="13">
                  <c:v>3</c:v>
                </c:pt>
                <c:pt idx="14">
                  <c:v>3</c:v>
                </c:pt>
                <c:pt idx="15">
                  <c:v>1</c:v>
                </c:pt>
                <c:pt idx="16">
                  <c:v>1</c:v>
                </c:pt>
                <c:pt idx="17">
                  <c:v>4</c:v>
                </c:pt>
                <c:pt idx="18">
                  <c:v>0</c:v>
                </c:pt>
                <c:pt idx="19">
                  <c:v>0</c:v>
                </c:pt>
                <c:pt idx="20">
                  <c:v>1</c:v>
                </c:pt>
                <c:pt idx="21">
                  <c:v>1</c:v>
                </c:pt>
                <c:pt idx="22">
                  <c:v>1</c:v>
                </c:pt>
                <c:pt idx="23">
                  <c:v>1</c:v>
                </c:pt>
                <c:pt idx="24">
                  <c:v>1</c:v>
                </c:pt>
                <c:pt idx="25">
                  <c:v>1</c:v>
                </c:pt>
                <c:pt idx="26">
                  <c:v>1</c:v>
                </c:pt>
                <c:pt idx="27">
                  <c:v>1</c:v>
                </c:pt>
                <c:pt idx="28">
                  <c:v>1</c:v>
                </c:pt>
                <c:pt idx="29">
                  <c:v>1</c:v>
                </c:pt>
              </c:numCache>
            </c:numRef>
          </c:val>
          <c:extLst>
            <c:ext xmlns:c16="http://schemas.microsoft.com/office/drawing/2014/chart" uri="{C3380CC4-5D6E-409C-BE32-E72D297353CC}">
              <c16:uniqueId val="{00000000-DA5B-4B0D-9ADA-F049461F5CC2}"/>
            </c:ext>
          </c:extLst>
        </c:ser>
        <c:ser>
          <c:idx val="1"/>
          <c:order val="1"/>
          <c:tx>
            <c:strRef>
              <c:f>Sheet1!$N$178</c:f>
              <c:strCache>
                <c:ptCount val="1"/>
                <c:pt idx="0">
                  <c:v>Negatif</c:v>
                </c:pt>
              </c:strCache>
            </c:strRef>
          </c:tx>
          <c:spPr>
            <a:solidFill>
              <a:schemeClr val="accent2"/>
            </a:solidFill>
            <a:ln>
              <a:noFill/>
            </a:ln>
            <a:effectLst/>
          </c:spPr>
          <c:invertIfNegative val="0"/>
          <c:cat>
            <c:strRef>
              <c:f>Sheet1!$L$179:$L$208</c:f>
              <c:strCache>
                <c:ptCount val="30"/>
                <c:pt idx="0">
                  <c:v>Deep Neural Network</c:v>
                </c:pt>
                <c:pt idx="1">
                  <c:v>Hierarchical Regression</c:v>
                </c:pt>
                <c:pt idx="2">
                  <c:v>Multiple Regression</c:v>
                </c:pt>
                <c:pt idx="3">
                  <c:v>Data-driven Course Clustering</c:v>
                </c:pt>
                <c:pt idx="4">
                  <c:v>Maximum Weight Dependencies Trees</c:v>
                </c:pt>
                <c:pt idx="5">
                  <c:v>Random Forest</c:v>
                </c:pt>
                <c:pt idx="6">
                  <c:v>Xmeans</c:v>
                </c:pt>
                <c:pt idx="7">
                  <c:v>Expectation Maximization</c:v>
                </c:pt>
                <c:pt idx="8">
                  <c:v>Microsoft Sequence Clustering</c:v>
                </c:pt>
                <c:pt idx="9">
                  <c:v>Probabilistic Matrix Factorization</c:v>
                </c:pt>
                <c:pt idx="10">
                  <c:v>Support Vector Machine</c:v>
                </c:pt>
                <c:pt idx="11">
                  <c:v>K-Means Clustering</c:v>
                </c:pt>
                <c:pt idx="12">
                  <c:v>Artificial Neural Networks</c:v>
                </c:pt>
                <c:pt idx="13">
                  <c:v>Naïve Bayes</c:v>
                </c:pt>
                <c:pt idx="14">
                  <c:v>Logistic Regression</c:v>
                </c:pt>
                <c:pt idx="15">
                  <c:v>Support Vector Machine with Linear Kernel</c:v>
                </c:pt>
                <c:pt idx="16">
                  <c:v>Support Vector Machine for Regression</c:v>
                </c:pt>
                <c:pt idx="17">
                  <c:v>Decision Tree</c:v>
                </c:pt>
                <c:pt idx="18">
                  <c:v>Linear Regression</c:v>
                </c:pt>
                <c:pt idx="19">
                  <c:v>Tree Ensemble</c:v>
                </c:pt>
                <c:pt idx="20">
                  <c:v>Rprop Multi Layer Perceptron</c:v>
                </c:pt>
                <c:pt idx="21">
                  <c:v>Binomial Logistic Regression</c:v>
                </c:pt>
                <c:pt idx="22">
                  <c:v>Recursive Partitioning &amp; Regression Tree</c:v>
                </c:pt>
                <c:pt idx="23">
                  <c:v>Conditional Inference Tree</c:v>
                </c:pt>
                <c:pt idx="24">
                  <c:v>Gradual At-Risk</c:v>
                </c:pt>
                <c:pt idx="25">
                  <c:v>Non-Linear Least Square</c:v>
                </c:pt>
                <c:pt idx="26">
                  <c:v>Random Forest Regression</c:v>
                </c:pt>
                <c:pt idx="27">
                  <c:v>Multi Layer Perceptron</c:v>
                </c:pt>
                <c:pt idx="28">
                  <c:v>Self-Organizing Map</c:v>
                </c:pt>
                <c:pt idx="29">
                  <c:v>C4.5</c:v>
                </c:pt>
              </c:strCache>
            </c:strRef>
          </c:cat>
          <c:val>
            <c:numRef>
              <c:f>Sheet1!$N$179:$N$208</c:f>
              <c:numCache>
                <c:formatCode>General</c:formatCode>
                <c:ptCount val="30"/>
                <c:pt idx="0">
                  <c:v>0</c:v>
                </c:pt>
                <c:pt idx="1">
                  <c:v>0</c:v>
                </c:pt>
                <c:pt idx="2">
                  <c:v>0</c:v>
                </c:pt>
                <c:pt idx="3">
                  <c:v>0</c:v>
                </c:pt>
                <c:pt idx="4">
                  <c:v>0</c:v>
                </c:pt>
                <c:pt idx="5">
                  <c:v>1</c:v>
                </c:pt>
                <c:pt idx="6">
                  <c:v>0</c:v>
                </c:pt>
                <c:pt idx="7">
                  <c:v>0</c:v>
                </c:pt>
                <c:pt idx="8">
                  <c:v>0</c:v>
                </c:pt>
                <c:pt idx="9">
                  <c:v>0</c:v>
                </c:pt>
                <c:pt idx="10">
                  <c:v>0</c:v>
                </c:pt>
                <c:pt idx="11">
                  <c:v>0</c:v>
                </c:pt>
                <c:pt idx="12">
                  <c:v>1</c:v>
                </c:pt>
                <c:pt idx="13">
                  <c:v>1</c:v>
                </c:pt>
                <c:pt idx="14">
                  <c:v>1</c:v>
                </c:pt>
                <c:pt idx="15">
                  <c:v>0</c:v>
                </c:pt>
                <c:pt idx="16">
                  <c:v>0</c:v>
                </c:pt>
                <c:pt idx="17">
                  <c:v>1</c:v>
                </c:pt>
                <c:pt idx="18">
                  <c:v>1</c:v>
                </c:pt>
                <c:pt idx="19">
                  <c:v>1</c:v>
                </c:pt>
                <c:pt idx="20">
                  <c:v>0</c:v>
                </c:pt>
                <c:pt idx="21">
                  <c:v>0</c:v>
                </c:pt>
                <c:pt idx="22">
                  <c:v>0</c:v>
                </c:pt>
                <c:pt idx="23">
                  <c:v>0</c:v>
                </c:pt>
                <c:pt idx="24">
                  <c:v>0</c:v>
                </c:pt>
                <c:pt idx="25">
                  <c:v>0</c:v>
                </c:pt>
                <c:pt idx="26">
                  <c:v>0</c:v>
                </c:pt>
                <c:pt idx="27">
                  <c:v>0</c:v>
                </c:pt>
                <c:pt idx="28">
                  <c:v>0</c:v>
                </c:pt>
                <c:pt idx="29">
                  <c:v>0</c:v>
                </c:pt>
              </c:numCache>
            </c:numRef>
          </c:val>
          <c:extLst>
            <c:ext xmlns:c16="http://schemas.microsoft.com/office/drawing/2014/chart" uri="{C3380CC4-5D6E-409C-BE32-E72D297353CC}">
              <c16:uniqueId val="{00000001-DA5B-4B0D-9ADA-F049461F5CC2}"/>
            </c:ext>
          </c:extLst>
        </c:ser>
        <c:dLbls>
          <c:showLegendKey val="0"/>
          <c:showVal val="0"/>
          <c:showCatName val="0"/>
          <c:showSerName val="0"/>
          <c:showPercent val="0"/>
          <c:showBubbleSize val="0"/>
        </c:dLbls>
        <c:gapWidth val="150"/>
        <c:overlap val="100"/>
        <c:axId val="1131515488"/>
        <c:axId val="955024176"/>
      </c:barChart>
      <c:catAx>
        <c:axId val="113151548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Article Context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955024176"/>
        <c:crosses val="autoZero"/>
        <c:auto val="1"/>
        <c:lblAlgn val="ctr"/>
        <c:lblOffset val="100"/>
        <c:noMultiLvlLbl val="0"/>
      </c:catAx>
      <c:valAx>
        <c:axId val="95502417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ID"/>
                  <a:t>Total Positive and Negative Article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3151548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Moh18</b:Tag>
    <b:SourceType>JournalArticle</b:SourceType>
    <b:Guid>{BFAC4178-E562-4451-80E0-D0B7D1AA3E4A}</b:Guid>
    <b:Title>A framework for smart academic guidance using educational</b:Title>
    <b:JournalName>Education and Information Technologies</b:JournalName>
    <b:Year>2018</b:Year>
    <b:Pages>1379–1393</b:Pages>
    <b:Author>
      <b:Author>
        <b:NameList>
          <b:Person>
            <b:Middle>Mimis</b:Middle>
            <b:First>Mohamed</b:First>
          </b:Person>
          <b:Person>
            <b:Last>Hajji</b:Last>
            <b:Middle>El</b:Middle>
            <b:First>Mohamed</b:First>
          </b:Person>
          <b:Person>
            <b:Middle>Es-saady</b:Middle>
            <b:First>Youssef</b:First>
          </b:Person>
          <b:Person>
            <b:Last>Guejdi</b:Last>
            <b:Middle>Oueld</b:Middle>
            <b:First>Abdellah</b:First>
          </b:Person>
          <b:Person>
            <b:Middle>Douzi</b:Middle>
            <b:First>Hassan</b:First>
          </b:Person>
          <b:Person>
            <b:Middle>Mammass</b:Middle>
            <b:First>Driss</b:First>
          </b:Person>
        </b:NameList>
      </b:Author>
    </b:Author>
    <b:RefOrder>1</b:RefOrder>
  </b:Source>
  <b:Source>
    <b:Tag>Ija19</b:Tag>
    <b:SourceType>ConferenceProceedings</b:SourceType>
    <b:Guid>{E1B7DB74-8D9C-46E1-8945-9BCA57DF4672}</b:Guid>
    <b:Title>Tracking Student Performance in Introductory Programming by Means of Machine Learning</b:Title>
    <b:Year>21 February 2019 </b:Year>
    <b:Pages>1 - 6</b:Pages>
    <b:Author>
      <b:Author>
        <b:NameList>
          <b:Person>
            <b:Middle>Khan</b:Middle>
            <b:First>Ijaz</b:First>
          </b:Person>
          <b:Person>
            <b:Last>Sadiri</b:Last>
            <b:Middle>Al</b:Middle>
            <b:First>Abir</b:First>
          </b:Person>
          <b:Person>
            <b:Last>Ahmad</b:Last>
            <b:Middle>Rahim</b:Middle>
            <b:First>Abdul</b:First>
          </b:Person>
        </b:NameList>
      </b:Author>
    </b:Author>
    <b:ConferenceName>2019 4th MEC International Conference on Big Data and Smart City (ICBDSC)</b:ConferenceName>
    <b:City>Muscat, Oman, Oman </b:City>
    <b:Publisher>IEEE</b:Publisher>
    <b:RefOrder>2</b:RefOrder>
  </b:Source>
  <b:Source>
    <b:Tag>Ali191</b:Tag>
    <b:SourceType>JournalArticle</b:SourceType>
    <b:Guid>{34824D60-05B5-4252-8243-8CA634B6C8BB}</b:Guid>
    <b:Title>Prediction of academic achievements of vocational and technical high school (VTS) students in science courses through artificial neural networks (comparison of Turkey and Malaysia)</b:Title>
    <b:Pages>2741–2761</b:Pages>
    <b:Year>2019</b:Year>
    <b:JournalName>Education and Information Technologies</b:JournalName>
    <b:Author>
      <b:Author>
        <b:NameList>
          <b:Person>
            <b:Middle>Yagci</b:Middle>
            <b:First>Ali</b:First>
          </b:Person>
          <b:Person>
            <b:Middle>Cevik</b:Middle>
            <b:First>Mustafa</b:First>
          </b:Person>
        </b:NameList>
      </b:Author>
    </b:Author>
    <b:RefOrder>3</b:RefOrder>
  </b:Source>
  <b:Source>
    <b:Tag>Abe16</b:Tag>
    <b:SourceType>JournalArticle</b:SourceType>
    <b:Guid>{038DF565-E71A-4874-A255-ECEB2B2D4804}</b:Guid>
    <b:Title>Combining University Student Self-regulated Learning Indicators and Engagement with Online Learning Events to Predict Academic Performance</b:Title>
    <b:JournalName>IEEE Transactions on Learning Technologies </b:JournalName>
    <b:Year>2016</b:Year>
    <b:Pages>82 - 92</b:Pages>
    <b:Author>
      <b:Author>
        <b:NameList>
          <b:Person>
            <b:Middle>Pardo</b:Middle>
            <b:First>Abelardo</b:First>
          </b:Person>
          <b:Person>
            <b:Middle>Han</b:Middle>
            <b:First>Feifei</b:First>
          </b:Person>
          <b:Person>
            <b:Last>Ellis</b:Last>
            <b:Middle>A.</b:Middle>
            <b:First>Robert</b:First>
          </b:Person>
        </b:NameList>
      </b:Author>
    </b:Author>
    <b:RefOrder>4</b:RefOrder>
  </b:Source>
  <b:Source>
    <b:Tag>Rag19</b:Tag>
    <b:SourceType>ConferenceProceedings</b:SourceType>
    <b:Guid>{03794CD6-6228-450A-9F8D-9A8E905F68A4}</b:Guid>
    <b:Title>Early Prediction of Student Performance in Blended Learning courses using deep neural networks</b:Title>
    <b:JournalName>2019 International Symposium on Education Technology (ISET)</b:JournalName>
    <b:Year>2019</b:Year>
    <b:Pages>39 - 43</b:Pages>
    <b:Author>
      <b:Author>
        <b:NameList>
          <b:Person>
            <b:Last>Raga Jr.</b:Last>
            <b:Middle>C.</b:Middle>
            <b:First>Rodolfo</b:First>
          </b:Person>
          <b:Person>
            <b:Last>Raga</b:Last>
            <b:Middle>D.</b:Middle>
            <b:First>Jennifer</b:First>
          </b:Person>
        </b:NameList>
      </b:Author>
    </b:Author>
    <b:ConferenceName>2019 International Symposium on Educational Technology (ISET)</b:ConferenceName>
    <b:City>Hradec Kralove, Czech Republic, Czech Republic </b:City>
    <b:Publisher>IEEE</b:Publisher>
    <b:RefOrder>5</b:RefOrder>
  </b:Source>
</b:Sources>
</file>

<file path=customXml/itemProps1.xml><?xml version="1.0" encoding="utf-8"?>
<ds:datastoreItem xmlns:ds="http://schemas.openxmlformats.org/officeDocument/2006/customXml" ds:itemID="{A3D6E84A-8DD8-4651-89DA-70E60D7E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JPCSA4Template.dot</Template>
  <TotalTime>0</TotalTime>
  <Pages>13</Pages>
  <Words>21102</Words>
  <Characters>120283</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Firdamdam Sasmita</cp:lastModifiedBy>
  <cp:revision>2</cp:revision>
  <cp:lastPrinted>2005-02-25T09:52:00Z</cp:lastPrinted>
  <dcterms:created xsi:type="dcterms:W3CDTF">2020-08-20T02:23:00Z</dcterms:created>
  <dcterms:modified xsi:type="dcterms:W3CDTF">2020-08-20T02:23:00Z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b3aedf42-6c95-319d-b381-16e78c0f3cc9</vt:lpwstr>
  </property>
  <property fmtid="{D5CDD505-2E9C-101B-9397-08002B2CF9AE}" pid="24" name="Mendeley Citation Style_1">
    <vt:lpwstr>http://www.zotero.org/styles/ieee</vt:lpwstr>
  </property>
</Properties>
</file>