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DCCD23">
      <w:pPr>
        <w:pStyle w:val="2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GB"/>
          <w14:textFill>
            <w14:solidFill>
              <w14:schemeClr w14:val="tx1"/>
            </w14:solidFill>
          </w14:textFill>
        </w:rPr>
        <w:t xml:space="preserve">General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User Engagement Strategies to Improve the Website</w:t>
      </w:r>
    </w:p>
    <w:p w14:paraId="12C81158">
      <w:pPr>
        <w:numPr>
          <w:ilvl w:val="0"/>
          <w:numId w:val="7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Optimise Website Speed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Ensure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GB"/>
          <w14:textFill>
            <w14:solidFill>
              <w14:schemeClr w14:val="tx1"/>
            </w14:solidFill>
          </w14:textFill>
        </w:rPr>
        <w:t>granhub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website loads quickly, as slow loading times can lead to high bounce rates. Optimise images, leverage browser caching, and consider using a content delivery network (CDN) to enhance performance.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</w:p>
    <w:p w14:paraId="46D06447">
      <w:pPr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 High-Quality, Relevant Content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Develop content that resonates with your target audience's interests and needs. Use a mix of text, images, and videos to make the content engaging and visually appealing. Regularly update your content to maintain its freshness and provide users with compelling reasons to revisit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GB"/>
          <w14:textFill>
            <w14:solidFill>
              <w14:schemeClr w14:val="tx1"/>
            </w14:solidFill>
          </w14:textFill>
        </w:rPr>
        <w:t>granhub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website.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</w:p>
    <w:p w14:paraId="03132163">
      <w:pPr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Improve Website Navigation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Design an intuitive navigation structure to help users find information easily. Clear menus, breadcrumbs, and a search function can enhance usability and keep visitors engaged.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</w:p>
    <w:p w14:paraId="23C76915">
      <w:pPr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Implement Responsive Design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Ensure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GB"/>
          <w14:textFill>
            <w14:solidFill>
              <w14:schemeClr w14:val="tx1"/>
            </w14:solidFill>
          </w14:textFill>
        </w:rPr>
        <w:t xml:space="preserve">granhub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website is mobile-friendly, providing a seamless experience across all devices. With the increasing use of smartphones and tablets, responsive design is essential for retaining users.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</w:p>
    <w:p w14:paraId="387F3AFF">
      <w:pPr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 Engaging Visuals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Incorporate high-quality images, videos, and infographics to make your content more appealing. Visual elements can break up text and keep users interested in your content.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</w:p>
    <w:p w14:paraId="05958130">
      <w:pPr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Implement Clear Calls to Action (CTAs)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Guide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GB"/>
          <w14:textFill>
            <w14:solidFill>
              <w14:schemeClr w14:val="tx1"/>
            </w14:solidFill>
          </w14:textFill>
        </w:rPr>
        <w:t xml:space="preserve">the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visitors on what actions to take next by using clear and compelling CTAs. Whether it’s signing up for a newsletter, making a purchase, or sharing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GB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content on social media,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GB"/>
          <w14:textFill>
            <w14:solidFill>
              <w14:schemeClr w14:val="tx1"/>
            </w14:solidFill>
          </w14:textFill>
        </w:rPr>
        <w:t xml:space="preserve">the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CTAs should stand out and convey a sense of urgency or value.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</w:p>
    <w:p w14:paraId="3C3CD0A9">
      <w:pPr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Encourage User Interaction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Incorporate features like comment sections, social sharing buttons, polls, and surveys to foster interaction. Engaging with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GB"/>
          <w14:textFill>
            <w14:solidFill>
              <w14:schemeClr w14:val="tx1"/>
            </w14:solidFill>
          </w14:textFill>
        </w:rPr>
        <w:t xml:space="preserve">granhub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audience can build a sense of community and encourage return visits.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</w:p>
    <w:p w14:paraId="33DFD190">
      <w:pPr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Leverage Social Proof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Display customer testimonials, reviews, and case studies to build trust and credibility. Positive feedback from others can influence visitors to engage more deeply with website and offerings.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</w:p>
    <w:p w14:paraId="32904C52">
      <w:pPr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Personalise User Experiences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Use data analytics to understand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GB"/>
          <w14:textFill>
            <w14:solidFill>
              <w14:schemeClr w14:val="tx1"/>
            </w14:solidFill>
          </w14:textFill>
        </w:rPr>
        <w:t xml:space="preserve">granhub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visitors' preferences and tailor content and recommendations accordingly. Personalised experiences can make users feel valued and more likely to engage with your site.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</w:p>
    <w:p w14:paraId="0619BA1A">
      <w:pPr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Regularly Update Content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Keeping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GB"/>
          <w14:textFill>
            <w14:solidFill>
              <w14:schemeClr w14:val="tx1"/>
            </w14:solidFill>
          </w14:textFill>
        </w:rPr>
        <w:t xml:space="preserve">the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website’s content fresh and up-to-date is vital for user engagement. Outdated information can deter visitors and harm website’s credibility. Regularly update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GB"/>
          <w14:textFill>
            <w14:solidFill>
              <w14:schemeClr w14:val="tx1"/>
            </w14:solidFill>
          </w14:textFill>
        </w:rPr>
        <w:t xml:space="preserve"> the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blog, product listings, and other content areas.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</w:p>
    <w:p w14:paraId="30E888C9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E3DB2F"/>
    <w:multiLevelType w:val="singleLevel"/>
    <w:tmpl w:val="C5E3DB2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893940"/>
    <w:rsid w:val="77AF566A"/>
    <w:rsid w:val="7B1C0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Sailwift Lyu</cp:lastModifiedBy>
  <dcterms:modified xsi:type="dcterms:W3CDTF">2025-02-06T00:08:13Z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2057-12.2.0.19805</vt:lpwstr>
  </property>
  <property fmtid="{D5CDD505-2E9C-101B-9397-08002B2CF9AE}" pid="3" name="ICV">
    <vt:lpwstr>994D1BBE990B4E1AB4971D1CBEE8D0C2_13</vt:lpwstr>
  </property>
</Properties>
</file>