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A582" w14:textId="77777777" w:rsidR="002344AA" w:rsidRDefault="00000000">
      <w:pPr>
        <w:pStyle w:val="Heading1"/>
        <w:jc w:val="center"/>
        <w:rPr>
          <w:color w:val="000000" w:themeColor="text1"/>
        </w:rPr>
      </w:pPr>
      <w:r>
        <w:rPr>
          <w:color w:val="000000" w:themeColor="text1"/>
        </w:rPr>
        <w:t>Accessibility Audit Guide - Gran</w:t>
      </w:r>
      <w:r>
        <w:rPr>
          <w:rFonts w:hint="eastAsia"/>
          <w:color w:val="000000" w:themeColor="text1"/>
          <w:lang w:eastAsia="zh-CN"/>
        </w:rPr>
        <w:t>h</w:t>
      </w:r>
      <w:r>
        <w:rPr>
          <w:color w:val="000000" w:themeColor="text1"/>
        </w:rPr>
        <w:t>ub.co.uk</w:t>
      </w:r>
    </w:p>
    <w:p w14:paraId="49E8F25D" w14:textId="77777777" w:rsidR="002344AA" w:rsidRDefault="00000000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Introduction</w:t>
      </w:r>
    </w:p>
    <w:p w14:paraId="35B135EB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This guide provides a detailed, step-by-step approach to conducting an accessibility audit on the website https://www.granhub.co.uk using automated evaluation tools. It ensures developers can efficiently identify, interpret, and address accessibility issues in line with WCAG 2.1 standards.</w:t>
      </w:r>
    </w:p>
    <w:p w14:paraId="5FA23F8A" w14:textId="77777777" w:rsidR="002344AA" w:rsidRDefault="00000000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 Overview of Automated Evaluation Tools</w:t>
      </w:r>
    </w:p>
    <w:p w14:paraId="0077F457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Automated tools help identify common accessibility issues such as:</w:t>
      </w:r>
    </w:p>
    <w:p w14:paraId="1C9D49AC" w14:textId="77777777" w:rsidR="002344AA" w:rsidRDefault="00000000">
      <w:pPr>
        <w:pStyle w:val="ListBulle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Missing alternative text</w:t>
      </w:r>
    </w:p>
    <w:p w14:paraId="12688F8C" w14:textId="77777777" w:rsidR="002344AA" w:rsidRDefault="00000000">
      <w:pPr>
        <w:pStyle w:val="ListBulle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Improper heading structure</w:t>
      </w:r>
    </w:p>
    <w:p w14:paraId="4B2973C4" w14:textId="77777777" w:rsidR="002344AA" w:rsidRDefault="00000000">
      <w:pPr>
        <w:pStyle w:val="ListBulle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Insufficient color contrast</w:t>
      </w:r>
    </w:p>
    <w:p w14:paraId="1E5E9E05" w14:textId="77777777" w:rsidR="002344AA" w:rsidRDefault="00000000">
      <w:pPr>
        <w:pStyle w:val="ListBulle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Missing form labels or ARIA attributes</w:t>
      </w:r>
    </w:p>
    <w:p w14:paraId="165AB017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Recommended tools include:</w:t>
      </w:r>
    </w:p>
    <w:p w14:paraId="0507D336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a. WAVE by </w:t>
      </w:r>
      <w:proofErr w:type="spellStart"/>
      <w:r>
        <w:rPr>
          <w:color w:val="000000" w:themeColor="text1"/>
          <w:sz w:val="28"/>
          <w:szCs w:val="28"/>
        </w:rPr>
        <w:t>WebAIM</w:t>
      </w:r>
      <w:proofErr w:type="spellEnd"/>
      <w:r>
        <w:rPr>
          <w:color w:val="000000" w:themeColor="text1"/>
          <w:sz w:val="28"/>
          <w:szCs w:val="28"/>
        </w:rPr>
        <w:t>: https://wave.webaim.org/</w:t>
      </w:r>
    </w:p>
    <w:p w14:paraId="4007AB40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b. Axe </w:t>
      </w:r>
      <w:proofErr w:type="spellStart"/>
      <w:r>
        <w:rPr>
          <w:color w:val="000000" w:themeColor="text1"/>
          <w:sz w:val="28"/>
          <w:szCs w:val="28"/>
        </w:rPr>
        <w:t>DevTools</w:t>
      </w:r>
      <w:proofErr w:type="spellEnd"/>
      <w:r>
        <w:rPr>
          <w:color w:val="000000" w:themeColor="text1"/>
          <w:sz w:val="28"/>
          <w:szCs w:val="28"/>
        </w:rPr>
        <w:t>: https://www.deque.com/axe/</w:t>
      </w:r>
    </w:p>
    <w:p w14:paraId="48DEB6C5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c. Google Lighthouse: Available in Chrome </w:t>
      </w:r>
      <w:proofErr w:type="spellStart"/>
      <w:r>
        <w:rPr>
          <w:color w:val="000000" w:themeColor="text1"/>
          <w:sz w:val="28"/>
          <w:szCs w:val="28"/>
        </w:rPr>
        <w:t>DevTools</w:t>
      </w:r>
      <w:proofErr w:type="spellEnd"/>
    </w:p>
    <w:p w14:paraId="363D825C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d. AccessibilityChecker.org: https://www.accessibilitychecker.org/</w:t>
      </w:r>
    </w:p>
    <w:p w14:paraId="7B05B107" w14:textId="77777777" w:rsidR="002344AA" w:rsidRDefault="00000000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Step-by-Step Audit Instructions</w:t>
      </w:r>
    </w:p>
    <w:p w14:paraId="57323E8D" w14:textId="77777777" w:rsidR="002344AA" w:rsidRDefault="00000000">
      <w:pPr>
        <w:pStyle w:val="Heading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Step 1: Define the Audit Scope</w:t>
      </w:r>
    </w:p>
    <w:p w14:paraId="50BF8B30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Identify critical pages to test, such as the homepage, login, signup, dashboard, and forms. Focus on user interaction points and high-traffic pages.</w:t>
      </w:r>
    </w:p>
    <w:p w14:paraId="795FF755" w14:textId="77777777" w:rsidR="002344AA" w:rsidRDefault="00000000">
      <w:pPr>
        <w:pStyle w:val="Heading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Step 2: Run Automated Tools</w:t>
      </w:r>
    </w:p>
    <w:p w14:paraId="27ECE7C5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a. Use WAVE to detect visual structure and landmark issues.</w:t>
      </w:r>
    </w:p>
    <w:p w14:paraId="34683C82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b. Use Axe </w:t>
      </w:r>
      <w:proofErr w:type="spellStart"/>
      <w:r>
        <w:rPr>
          <w:color w:val="000000" w:themeColor="text1"/>
          <w:sz w:val="28"/>
          <w:szCs w:val="28"/>
        </w:rPr>
        <w:t>DevTools</w:t>
      </w:r>
      <w:proofErr w:type="spellEnd"/>
      <w:r>
        <w:rPr>
          <w:color w:val="000000" w:themeColor="text1"/>
          <w:sz w:val="28"/>
          <w:szCs w:val="28"/>
        </w:rPr>
        <w:t xml:space="preserve"> in browser </w:t>
      </w:r>
      <w:proofErr w:type="spellStart"/>
      <w:r>
        <w:rPr>
          <w:color w:val="000000" w:themeColor="text1"/>
          <w:sz w:val="28"/>
          <w:szCs w:val="28"/>
        </w:rPr>
        <w:t>DevTools</w:t>
      </w:r>
      <w:proofErr w:type="spellEnd"/>
      <w:r>
        <w:rPr>
          <w:color w:val="000000" w:themeColor="text1"/>
          <w:sz w:val="28"/>
          <w:szCs w:val="28"/>
        </w:rPr>
        <w:t xml:space="preserve"> for in-depth WCAG analysis.</w:t>
      </w:r>
    </w:p>
    <w:p w14:paraId="73B4DE51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c. Use Google Lighthouse to generate an accessibility score and report.</w:t>
      </w:r>
    </w:p>
    <w:p w14:paraId="56F40B08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d. Test with AccessibilityChecker.org for a comprehensive compliance overview.</w:t>
      </w:r>
    </w:p>
    <w:p w14:paraId="6EBDEF72" w14:textId="77777777" w:rsidR="002344AA" w:rsidRDefault="00000000">
      <w:pPr>
        <w:pStyle w:val="Heading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Step 3: Review and Interpret Results</w:t>
      </w:r>
    </w:p>
    <w:p w14:paraId="09C5C065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Download or export reports </w:t>
      </w:r>
      <w:proofErr w:type="gramStart"/>
      <w:r>
        <w:rPr>
          <w:color w:val="000000" w:themeColor="text1"/>
          <w:sz w:val="28"/>
          <w:szCs w:val="28"/>
        </w:rPr>
        <w:t>where</w:t>
      </w:r>
      <w:proofErr w:type="gramEnd"/>
      <w:r>
        <w:rPr>
          <w:color w:val="000000" w:themeColor="text1"/>
          <w:sz w:val="28"/>
          <w:szCs w:val="28"/>
        </w:rPr>
        <w:t xml:space="preserve"> available. </w:t>
      </w:r>
      <w:proofErr w:type="spellStart"/>
      <w:proofErr w:type="gramStart"/>
      <w:r>
        <w:rPr>
          <w:color w:val="000000" w:themeColor="text1"/>
          <w:sz w:val="28"/>
          <w:szCs w:val="28"/>
        </w:rPr>
        <w:t>Prioriti</w:t>
      </w:r>
      <w:r>
        <w:rPr>
          <w:rFonts w:hint="eastAsia"/>
          <w:color w:val="000000" w:themeColor="text1"/>
          <w:sz w:val="28"/>
          <w:szCs w:val="28"/>
          <w:lang w:eastAsia="zh-CN"/>
        </w:rPr>
        <w:t>s</w:t>
      </w:r>
      <w:r>
        <w:rPr>
          <w:color w:val="000000" w:themeColor="text1"/>
          <w:sz w:val="28"/>
          <w:szCs w:val="28"/>
        </w:rPr>
        <w:t>e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fixing high-severity issues such as missing </w:t>
      </w:r>
      <w:proofErr w:type="gramStart"/>
      <w:r>
        <w:rPr>
          <w:color w:val="000000" w:themeColor="text1"/>
          <w:sz w:val="28"/>
          <w:szCs w:val="28"/>
        </w:rPr>
        <w:t>alt</w:t>
      </w:r>
      <w:proofErr w:type="gramEnd"/>
      <w:r>
        <w:rPr>
          <w:color w:val="000000" w:themeColor="text1"/>
          <w:sz w:val="28"/>
          <w:szCs w:val="28"/>
        </w:rPr>
        <w:t xml:space="preserve"> texts, non-descriptive links, inaccessible forms, and keyboard traps.</w:t>
      </w:r>
    </w:p>
    <w:p w14:paraId="1536E5CF" w14:textId="77777777" w:rsidR="002344AA" w:rsidRDefault="00000000">
      <w:pPr>
        <w:pStyle w:val="Heading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Step 4: Manual Validation (Supplemental)</w:t>
      </w:r>
    </w:p>
    <w:p w14:paraId="3EB718BE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Perform keyboard navigation tests. Use screen readers (NVDA, </w:t>
      </w:r>
      <w:proofErr w:type="spellStart"/>
      <w:r>
        <w:rPr>
          <w:color w:val="000000" w:themeColor="text1"/>
          <w:sz w:val="28"/>
          <w:szCs w:val="28"/>
        </w:rPr>
        <w:t>VoiceOver</w:t>
      </w:r>
      <w:proofErr w:type="spellEnd"/>
      <w:r>
        <w:rPr>
          <w:color w:val="000000" w:themeColor="text1"/>
          <w:sz w:val="28"/>
          <w:szCs w:val="28"/>
        </w:rPr>
        <w:t>) to verify content flow. Check if all interactive elements are reachable and operable using a keyboard alone.</w:t>
      </w:r>
    </w:p>
    <w:p w14:paraId="32450FA3" w14:textId="77777777" w:rsidR="002344AA" w:rsidRDefault="00000000">
      <w:pPr>
        <w:pStyle w:val="Heading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Step 5: Fix and Re-Test</w:t>
      </w:r>
    </w:p>
    <w:p w14:paraId="40945280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Address the issues identified. Re-run the automated tools after </w:t>
      </w:r>
      <w:proofErr w:type="gramStart"/>
      <w:r>
        <w:rPr>
          <w:color w:val="000000" w:themeColor="text1"/>
          <w:sz w:val="28"/>
          <w:szCs w:val="28"/>
        </w:rPr>
        <w:t>fixes</w:t>
      </w:r>
      <w:proofErr w:type="gramEnd"/>
      <w:r>
        <w:rPr>
          <w:color w:val="000000" w:themeColor="text1"/>
          <w:sz w:val="28"/>
          <w:szCs w:val="28"/>
        </w:rPr>
        <w:t>. Ensure scores improve and the site adheres to WCAG 2.1 AA compliance.</w:t>
      </w:r>
    </w:p>
    <w:p w14:paraId="76F1B058" w14:textId="77777777" w:rsidR="002344AA" w:rsidRDefault="00000000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Best Practices and Notes</w:t>
      </w:r>
    </w:p>
    <w:p w14:paraId="1EE02CB1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Use semantic HTML and ARIA roles appropriately.</w:t>
      </w:r>
    </w:p>
    <w:p w14:paraId="3B2470C1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Ensure all form elements have associated labels.</w:t>
      </w:r>
    </w:p>
    <w:p w14:paraId="5B55B72E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Maintain sufficient color contrast for text and backgrounds.</w:t>
      </w:r>
    </w:p>
    <w:p w14:paraId="176E29FB" w14:textId="77777777" w:rsidR="002344AA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Regularly test the site during development iterations.</w:t>
      </w:r>
    </w:p>
    <w:sectPr w:rsidR="002344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95528867">
    <w:abstractNumId w:val="5"/>
  </w:num>
  <w:num w:numId="2" w16cid:durableId="68892845">
    <w:abstractNumId w:val="3"/>
  </w:num>
  <w:num w:numId="3" w16cid:durableId="1439181545">
    <w:abstractNumId w:val="2"/>
  </w:num>
  <w:num w:numId="4" w16cid:durableId="851991862">
    <w:abstractNumId w:val="4"/>
  </w:num>
  <w:num w:numId="5" w16cid:durableId="1455979265">
    <w:abstractNumId w:val="1"/>
  </w:num>
  <w:num w:numId="6" w16cid:durableId="186570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44AA"/>
    <w:rsid w:val="000C362C"/>
    <w:rsid w:val="002344AA"/>
    <w:rsid w:val="00605D3B"/>
    <w:rsid w:val="007F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2273642-C99D-4021-9672-7DEA06C9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customStyle="1" w:styleId="Quote1">
    <w:name w:val="Quote1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1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4b9209-f339-4157-b02c-83b794aa362d" xsi:nil="true"/>
    <lcf76f155ced4ddcb4097134ff3c332f xmlns="fa063b05-85e0-4bf1-8549-de63741e314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4DAA35FCC5543A80B2510617AD7AF" ma:contentTypeVersion="11" ma:contentTypeDescription="Create a new document." ma:contentTypeScope="" ma:versionID="5658ea11c80044cb19707efbc7d683f5">
  <xsd:schema xmlns:xsd="http://www.w3.org/2001/XMLSchema" xmlns:xs="http://www.w3.org/2001/XMLSchema" xmlns:p="http://schemas.microsoft.com/office/2006/metadata/properties" xmlns:ns2="fa063b05-85e0-4bf1-8549-de63741e3144" xmlns:ns3="7b4b9209-f339-4157-b02c-83b794aa362d" targetNamespace="http://schemas.microsoft.com/office/2006/metadata/properties" ma:root="true" ma:fieldsID="69aafaf6b03fb395266ad417959c454e" ns2:_="" ns3:_="">
    <xsd:import namespace="fa063b05-85e0-4bf1-8549-de63741e3144"/>
    <xsd:import namespace="7b4b9209-f339-4157-b02c-83b794aa36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63b05-85e0-4bf1-8549-de63741e31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3ce84e-8a1c-4e1f-afa2-9e99935bac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b9209-f339-4157-b02c-83b794aa36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01b80-8a8e-453b-a7f3-4c0941d35806}" ma:internalName="TaxCatchAll" ma:showField="CatchAllData" ma:web="7b4b9209-f339-4157-b02c-83b794aa36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CFEF2F-4C40-4F1E-B829-C3B118BC9108}">
  <ds:schemaRefs>
    <ds:schemaRef ds:uri="http://schemas.microsoft.com/office/2006/metadata/properties"/>
    <ds:schemaRef ds:uri="http://schemas.microsoft.com/office/infopath/2007/PartnerControls"/>
    <ds:schemaRef ds:uri="7b4b9209-f339-4157-b02c-83b794aa362d"/>
    <ds:schemaRef ds:uri="fa063b05-85e0-4bf1-8549-de63741e3144"/>
  </ds:schemaRefs>
</ds:datastoreItem>
</file>

<file path=customXml/itemProps3.xml><?xml version="1.0" encoding="utf-8"?>
<ds:datastoreItem xmlns:ds="http://schemas.openxmlformats.org/officeDocument/2006/customXml" ds:itemID="{6B8F7FE0-9442-4912-A211-7B8236354C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E54845-526D-4985-A7F3-4F8839C9B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63b05-85e0-4bf1-8549-de63741e3144"/>
    <ds:schemaRef ds:uri="7b4b9209-f339-4157-b02c-83b794aa36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Furen Huang</cp:lastModifiedBy>
  <cp:revision>2</cp:revision>
  <dcterms:created xsi:type="dcterms:W3CDTF">2025-04-22T23:50:00Z</dcterms:created>
  <dcterms:modified xsi:type="dcterms:W3CDTF">2025-04-22T23:50:00Z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CD7BCF04484DB0ACFA9A056846C36CD0_31</vt:lpwstr>
  </property>
  <property fmtid="{D5CDD505-2E9C-101B-9397-08002B2CF9AE}" pid="3" name="KSOProductBuildVer">
    <vt:lpwstr>3081-12.22.0</vt:lpwstr>
  </property>
  <property fmtid="{D5CDD505-2E9C-101B-9397-08002B2CF9AE}" pid="4" name="ContentTypeId">
    <vt:lpwstr>0x010100C314DAA35FCC5543A80B2510617AD7AF</vt:lpwstr>
  </property>
</Properties>
</file>