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320"/>
        <w:jc w:val="center"/>
      </w:pPr>
      <w:r>
        <w:rPr>
          <w:rFonts w:ascii="Calibri" w:hAnsi="Calibri"/>
          <w:b/>
          <w:color w:val="F26B2B"/>
          <w:sz w:val="22"/>
        </w:rPr>
        <w:t>FIELD GUIDE</w:t>
      </w:r>
    </w:p>
    <w:p>
      <w:pPr>
        <w:spacing w:after="200"/>
        <w:jc w:val="center"/>
      </w:pPr>
      <w:r>
        <w:rPr>
          <w:rFonts w:ascii="Calibri" w:hAnsi="Calibri"/>
          <w:b/>
          <w:color w:val="0B2545"/>
          <w:sz w:val="60"/>
        </w:rPr>
        <w:t>Understanding Structor AI</w:t>
      </w:r>
    </w:p>
    <w:p>
      <w:pPr>
        <w:spacing w:after="120"/>
        <w:jc w:val="center"/>
      </w:pPr>
      <w:r>
        <w:rPr>
          <w:rFonts w:ascii="Calibri" w:hAnsi="Calibri"/>
          <w:color w:val="1F4D78"/>
          <w:sz w:val="30"/>
        </w:rPr>
        <w:t>Marcel's preconstruction workflow, the Excel sheets, and the automation you promised</w:t>
      </w:r>
    </w:p>
    <w:p>
      <w:pPr>
        <w:spacing w:after="800"/>
        <w:jc w:val="center"/>
      </w:pPr>
      <w:r>
        <w:rPr>
          <w:rFonts w:ascii="Calibri" w:hAnsi="Calibri"/>
          <w:i/>
          <w:color w:val="5B6573"/>
          <w:sz w:val="21"/>
        </w:rPr>
        <w:t>A plain-language guide for Danial Khan / Synix Solutions</w:t>
      </w:r>
    </w:p>
    <w:tbl>
      <w:tblPr>
        <w:tblW w:type="dxa" w:w="9360"/>
        <w:jc w:val="left"/>
        <w:tblLayout w:type="fixed"/>
        <w:tblLook w:firstColumn="1" w:firstRow="1" w:lastColumn="0" w:lastRow="0" w:noHBand="0" w:noVBand="1" w:val="04A0"/>
        <w:tblInd w:w="120" w:type="dxa"/>
        <w:tblBorders>
          <w:top w:val="single" w:sz="10" w:space="0" w:color="F26B2B"/>
          <w:left w:val="single" w:sz="10" w:space="0" w:color="F26B2B"/>
          <w:bottom w:val="single" w:sz="10" w:space="0" w:color="F26B2B"/>
          <w:right w:val="single" w:sz="10" w:space="0" w:color="F26B2B"/>
          <w:insideH w:val="single" w:sz="10" w:space="0" w:color="F26B2B"/>
          <w:insideV w:val="single" w:sz="10" w:space="0" w:color="F26B2B"/>
        </w:tblBorders>
      </w:tblPr>
      <w:tblGrid>
        <w:gridCol w:w="9360"/>
      </w:tblGrid>
      <w:tr>
        <w:tc>
          <w:tcPr>
            <w:tcW w:type="dxa" w:w="9360"/>
            <w:shd w:fill="F2F4F7"/>
            <w:tcMar>
              <w:top w:w="80" w:type="dxa"/>
              <w:start w:w="120" w:type="dxa"/>
              <w:bottom w:w="80" w:type="dxa"/>
              <w:end w:w="120" w:type="dxa"/>
            </w:tcMar>
          </w:tcPr>
          <w:p>
            <w:pPr>
              <w:spacing w:after="0"/>
            </w:pPr>
            <w:r/>
            <w:r>
              <w:rPr>
                <w:rFonts w:ascii="Calibri" w:hAnsi="Calibri"/>
                <w:b/>
                <w:color w:val="F26B2B"/>
                <w:sz w:val="21"/>
              </w:rPr>
              <w:t xml:space="preserve">THE ONE-SENTENCE VERSION  </w:t>
            </w:r>
            <w:r>
              <w:rPr>
                <w:rFonts w:ascii="Calibri" w:hAnsi="Calibri"/>
                <w:color w:val="111827"/>
                <w:sz w:val="21"/>
              </w:rPr>
              <w:t>Structor AI is meant to turn construction documents and subcontractor proposals into complete trade scopes, comparable bids, a defensible project budget, and eventually contract scope language.</w:t>
            </w:r>
          </w:p>
        </w:tc>
      </w:tr>
    </w:tbl>
    <w:p>
      <w:pPr>
        <w:spacing w:after="20"/>
      </w:pPr>
    </w:p>
    <w:p>
      <w:pPr>
        <w:spacing w:before="720"/>
        <w:jc w:val="center"/>
      </w:pPr>
      <w:r>
        <w:rPr>
          <w:rFonts w:ascii="Calibri" w:hAnsi="Calibri"/>
          <w:color w:val="5B6573"/>
          <w:sz w:val="19"/>
        </w:rPr>
        <w:t>Based on the 26 August 2026 discovery meeting and the Jelleff Recreation Center bid workbook</w:t>
      </w:r>
    </w:p>
    <w:p>
      <w:r>
        <w:br w:type="page"/>
      </w:r>
    </w:p>
    <w:p>
      <w:pPr>
        <w:pStyle w:val="Heading1"/>
      </w:pPr>
      <w:r>
        <w:t>How to use this guide</w:t>
      </w:r>
    </w:p>
    <w:p>
      <w:r>
        <w:rPr>
          <w:rFonts w:ascii="Calibri" w:hAnsi="Calibri"/>
          <w:color w:val="111827"/>
        </w:rPr>
        <w:t>Read Sections 1–4 first. They explain the business and workbook without assuming construction knowledge. Sections 5–8 explain the automation commitment and how the software should work. The final sections give you a practical checklist, questions for Marcel, and a glossary.</w:t>
      </w:r>
    </w:p>
    <w:tbl>
      <w:tblPr>
        <w:tblW w:type="dxa" w:w="9360"/>
        <w:jc w:val="left"/>
        <w:tblLayout w:type="fixed"/>
        <w:tblLook w:firstColumn="1" w:firstRow="1" w:lastColumn="0" w:lastRow="0" w:noHBand="0" w:noVBand="1" w:val="04A0"/>
        <w:tblInd w:w="120" w:type="dxa"/>
        <w:tblBorders>
          <w:top w:val="single" w:sz="10" w:space="0" w:color="F26B2B"/>
          <w:left w:val="single" w:sz="10" w:space="0" w:color="F26B2B"/>
          <w:bottom w:val="single" w:sz="10" w:space="0" w:color="F26B2B"/>
          <w:right w:val="single" w:sz="10" w:space="0" w:color="F26B2B"/>
          <w:insideH w:val="single" w:sz="10" w:space="0" w:color="F26B2B"/>
          <w:insideV w:val="single" w:sz="10" w:space="0" w:color="F26B2B"/>
        </w:tblBorders>
      </w:tblPr>
      <w:tblGrid>
        <w:gridCol w:w="9360"/>
      </w:tblGrid>
      <w:tr>
        <w:tc>
          <w:tcPr>
            <w:tcW w:type="dxa" w:w="9360"/>
            <w:shd w:fill="F4F6F9"/>
            <w:tcMar>
              <w:top w:w="80" w:type="dxa"/>
              <w:start w:w="120" w:type="dxa"/>
              <w:bottom w:w="80" w:type="dxa"/>
              <w:end w:w="120" w:type="dxa"/>
            </w:tcMar>
          </w:tcPr>
          <w:p>
            <w:pPr>
              <w:spacing w:after="0"/>
            </w:pPr>
            <w:r/>
            <w:r>
              <w:rPr>
                <w:rFonts w:ascii="Calibri" w:hAnsi="Calibri"/>
                <w:b/>
                <w:color w:val="F26B2B"/>
                <w:sz w:val="21"/>
              </w:rPr>
              <w:t xml:space="preserve">MOST IMPORTANT DISTINCTION  </w:t>
            </w:r>
            <w:r>
              <w:rPr>
                <w:rFonts w:ascii="Calibri" w:hAnsi="Calibri"/>
                <w:color w:val="111827"/>
                <w:sz w:val="21"/>
              </w:rPr>
              <w:t>The Excel workbook is the current container for Marcel's decisions. The real product is the process that creates those decisions and moves them from drawings to scopes, bids, budgets, and contracts.</w:t>
            </w:r>
          </w:p>
        </w:tc>
      </w:tr>
    </w:tbl>
    <w:p>
      <w:pPr>
        <w:spacing w:after="20"/>
      </w:pPr>
    </w:p>
    <w:p>
      <w:pPr>
        <w:pStyle w:val="Heading2"/>
      </w:pPr>
      <w:r>
        <w:t>Contents</w:t>
      </w:r>
    </w:p>
    <w:p>
      <w:pPr>
        <w:spacing w:after="80" w:line="300" w:lineRule="auto"/>
        <w:ind w:left="540" w:hanging="271"/>
        <w:numPr>
          <w:ilvl w:val="0"/>
          <w:numId w:val="50"/>
        </w:numPr>
      </w:pPr>
      <w:r>
        <w:rPr>
          <w:rFonts w:ascii="Calibri" w:hAnsi="Calibri"/>
          <w:color w:val="111827"/>
        </w:rPr>
        <w:t>1. The business in plain English</w:t>
      </w:r>
    </w:p>
    <w:p>
      <w:pPr>
        <w:spacing w:after="80" w:line="300" w:lineRule="auto"/>
        <w:ind w:left="540" w:hanging="271"/>
        <w:numPr>
          <w:ilvl w:val="0"/>
          <w:numId w:val="50"/>
        </w:numPr>
      </w:pPr>
      <w:r>
        <w:rPr>
          <w:rFonts w:ascii="Calibri" w:hAnsi="Calibri"/>
          <w:color w:val="111827"/>
        </w:rPr>
        <w:t>2. What Marcel actually does every day</w:t>
      </w:r>
    </w:p>
    <w:p>
      <w:pPr>
        <w:spacing w:after="80" w:line="300" w:lineRule="auto"/>
        <w:ind w:left="540" w:hanging="271"/>
        <w:numPr>
          <w:ilvl w:val="0"/>
          <w:numId w:val="50"/>
        </w:numPr>
      </w:pPr>
      <w:r>
        <w:rPr>
          <w:rFonts w:ascii="Calibri" w:hAnsi="Calibri"/>
          <w:color w:val="111827"/>
        </w:rPr>
        <w:t>3. The documents and construction vocabulary</w:t>
      </w:r>
    </w:p>
    <w:p>
      <w:pPr>
        <w:spacing w:after="80" w:line="300" w:lineRule="auto"/>
        <w:ind w:left="540" w:hanging="271"/>
        <w:numPr>
          <w:ilvl w:val="0"/>
          <w:numId w:val="50"/>
        </w:numPr>
      </w:pPr>
      <w:r>
        <w:rPr>
          <w:rFonts w:ascii="Calibri" w:hAnsi="Calibri"/>
          <w:color w:val="111827"/>
        </w:rPr>
        <w:t>4. What every workbook sheet means</w:t>
      </w:r>
    </w:p>
    <w:p>
      <w:pPr>
        <w:spacing w:after="80" w:line="300" w:lineRule="auto"/>
        <w:ind w:left="540" w:hanging="271"/>
        <w:numPr>
          <w:ilvl w:val="0"/>
          <w:numId w:val="50"/>
        </w:numPr>
      </w:pPr>
      <w:r>
        <w:rPr>
          <w:rFonts w:ascii="Calibri" w:hAnsi="Calibri"/>
          <w:color w:val="111827"/>
        </w:rPr>
        <w:t>5. A trade sheet explained cell by cell</w:t>
      </w:r>
    </w:p>
    <w:p>
      <w:pPr>
        <w:spacing w:after="80" w:line="300" w:lineRule="auto"/>
        <w:ind w:left="540" w:hanging="271"/>
        <w:numPr>
          <w:ilvl w:val="0"/>
          <w:numId w:val="50"/>
        </w:numPr>
      </w:pPr>
      <w:r>
        <w:rPr>
          <w:rFonts w:ascii="Calibri" w:hAnsi="Calibri"/>
          <w:color w:val="111827"/>
        </w:rPr>
        <w:t>6. Bid leveling with a worked example</w:t>
      </w:r>
    </w:p>
    <w:p>
      <w:pPr>
        <w:spacing w:after="80" w:line="300" w:lineRule="auto"/>
        <w:ind w:left="540" w:hanging="271"/>
        <w:numPr>
          <w:ilvl w:val="0"/>
          <w:numId w:val="50"/>
        </w:numPr>
      </w:pPr>
      <w:r>
        <w:rPr>
          <w:rFonts w:ascii="Calibri" w:hAnsi="Calibri"/>
          <w:color w:val="111827"/>
        </w:rPr>
        <w:t>7. What is manual, what Excel already automates, and what Structor should automate</w:t>
      </w:r>
    </w:p>
    <w:p>
      <w:pPr>
        <w:spacing w:after="80" w:line="300" w:lineRule="auto"/>
        <w:ind w:left="540" w:hanging="271"/>
        <w:numPr>
          <w:ilvl w:val="0"/>
          <w:numId w:val="50"/>
        </w:numPr>
      </w:pPr>
      <w:r>
        <w:rPr>
          <w:rFonts w:ascii="Calibri" w:hAnsi="Calibri"/>
          <w:color w:val="111827"/>
        </w:rPr>
        <w:t>8. What you actually promised Marcel</w:t>
      </w:r>
    </w:p>
    <w:p>
      <w:pPr>
        <w:spacing w:after="80" w:line="300" w:lineRule="auto"/>
        <w:ind w:left="540" w:hanging="271"/>
        <w:numPr>
          <w:ilvl w:val="0"/>
          <w:numId w:val="50"/>
        </w:numPr>
      </w:pPr>
      <w:r>
        <w:rPr>
          <w:rFonts w:ascii="Calibri" w:hAnsi="Calibri"/>
          <w:color w:val="111827"/>
        </w:rPr>
        <w:t>9. The recommended product milestones and data model</w:t>
      </w:r>
    </w:p>
    <w:p>
      <w:pPr>
        <w:spacing w:after="80" w:line="300" w:lineRule="auto"/>
        <w:ind w:left="540" w:hanging="271"/>
        <w:numPr>
          <w:ilvl w:val="0"/>
          <w:numId w:val="50"/>
        </w:numPr>
      </w:pPr>
      <w:r>
        <w:rPr>
          <w:rFonts w:ascii="Calibri" w:hAnsi="Calibri"/>
          <w:color w:val="111827"/>
        </w:rPr>
        <w:t>10. How the AI components should work safely</w:t>
      </w:r>
    </w:p>
    <w:p>
      <w:pPr>
        <w:spacing w:after="80" w:line="300" w:lineRule="auto"/>
        <w:ind w:left="540" w:hanging="271"/>
        <w:numPr>
          <w:ilvl w:val="0"/>
          <w:numId w:val="50"/>
        </w:numPr>
      </w:pPr>
      <w:r>
        <w:rPr>
          <w:rFonts w:ascii="Calibri" w:hAnsi="Calibri"/>
          <w:color w:val="111827"/>
        </w:rPr>
        <w:t>11. What you need from Marcel next</w:t>
      </w:r>
    </w:p>
    <w:p>
      <w:pPr>
        <w:spacing w:after="80" w:line="300" w:lineRule="auto"/>
        <w:ind w:left="540" w:hanging="271"/>
        <w:numPr>
          <w:ilvl w:val="0"/>
          <w:numId w:val="50"/>
        </w:numPr>
      </w:pPr>
      <w:r>
        <w:rPr>
          <w:rFonts w:ascii="Calibri" w:hAnsi="Calibri"/>
          <w:color w:val="111827"/>
        </w:rPr>
        <w:t>12. Meeting questions and glossary</w:t>
      </w:r>
    </w:p>
    <w:p>
      <w:r>
        <w:br w:type="page"/>
      </w:r>
    </w:p>
    <w:p>
      <w:pPr>
        <w:pStyle w:val="Heading1"/>
      </w:pPr>
      <w:r>
        <w:t>1. The business in plain English</w:t>
      </w:r>
    </w:p>
    <w:p>
      <w:r>
        <w:rPr>
          <w:rFonts w:ascii="Calibri" w:hAnsi="Calibri"/>
          <w:color w:val="111827"/>
        </w:rPr>
        <w:t>Marcel works in preconstruction for a general contractor. Preconstruction is the planning, pricing, and purchasing work performed before physical construction begins. His company must understand a proposed building well enough to tell the owner what it will cost and to buy the work from specialist subcontractors without leaving gaps.</w:t>
      </w:r>
    </w:p>
    <w:p>
      <w:r>
        <w:rPr>
          <w:rFonts w:ascii="Calibri" w:hAnsi="Calibri"/>
          <w:color w:val="111827"/>
        </w:rPr>
        <w:t>Think of the general contractor as the company assembling the entire building. It usually does not personally manufacture every door, pour every slab, install every pipe, and wire every room. It hires separate specialist companies, called subcontractors, for those pieces of work.</w:t>
      </w:r>
    </w:p>
    <w:p>
      <w:pPr>
        <w:pStyle w:val="Heading2"/>
      </w:pPr>
      <w:r>
        <w:t>The people involved</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400"/>
        <w:gridCol w:w="6960"/>
      </w:tblGrid>
      <w:tr>
        <w:trPr>
          <w:tblHeader w:val="true"/>
          <w:cantSplit/>
        </w:trPr>
        <w:tc>
          <w:tcPr>
            <w:tcW w:type="dxa" w:w="2400"/>
            <w:tcMar>
              <w:top w:w="80" w:type="dxa"/>
              <w:start w:w="120" w:type="dxa"/>
              <w:bottom w:w="80" w:type="dxa"/>
              <w:end w:w="120" w:type="dxa"/>
            </w:tcMar>
            <w:vAlign w:val="center"/>
            <w:shd w:fill="E8EEF5"/>
          </w:tcPr>
          <w:p>
            <w:pPr>
              <w:keepNext/>
              <w:spacing w:before="0" w:after="60" w:line="259" w:lineRule="auto"/>
            </w:pPr>
            <w:r>
              <w:rPr>
                <w:rFonts w:ascii="Calibri" w:hAnsi="Calibri"/>
                <w:b/>
                <w:color w:val="0B2545"/>
                <w:sz w:val="18"/>
              </w:rPr>
              <w:t>Party</w:t>
            </w:r>
          </w:p>
        </w:tc>
        <w:tc>
          <w:tcPr>
            <w:tcW w:type="dxa" w:w="6960"/>
            <w:tcMar>
              <w:top w:w="80" w:type="dxa"/>
              <w:start w:w="120" w:type="dxa"/>
              <w:bottom w:w="80" w:type="dxa"/>
              <w:end w:w="120" w:type="dxa"/>
            </w:tcMar>
            <w:vAlign w:val="center"/>
            <w:shd w:fill="E8EEF5"/>
          </w:tcPr>
          <w:p>
            <w:pPr>
              <w:keepNext/>
              <w:spacing w:before="0" w:after="60" w:line="259" w:lineRule="auto"/>
            </w:pPr>
            <w:r>
              <w:rPr>
                <w:rFonts w:ascii="Calibri" w:hAnsi="Calibri"/>
                <w:b/>
                <w:color w:val="0B2545"/>
                <w:sz w:val="18"/>
              </w:rPr>
              <w:t>What that party does</w:t>
            </w:r>
          </w:p>
        </w:tc>
      </w:tr>
      <w:tr>
        <w:trPr>
          <w:cantSplit/>
        </w:trPr>
        <w:tc>
          <w:tcPr>
            <w:tcW w:type="dxa" w:w="2400"/>
            <w:tcMar>
              <w:top w:w="80" w:type="dxa"/>
              <w:start w:w="120" w:type="dxa"/>
              <w:bottom w:w="80" w:type="dxa"/>
              <w:end w:w="120" w:type="dxa"/>
            </w:tcMar>
            <w:vAlign w:val="center"/>
          </w:tcPr>
          <w:p>
            <w:pPr>
              <w:spacing w:before="0" w:after="60" w:line="259" w:lineRule="auto"/>
            </w:pPr>
            <w:r>
              <w:rPr>
                <w:rFonts w:ascii="Calibri" w:hAnsi="Calibri"/>
                <w:color w:val="111827"/>
                <w:sz w:val="19"/>
              </w:rPr>
              <w:t>Owner / client</w:t>
            </w:r>
          </w:p>
        </w:tc>
        <w:tc>
          <w:tcPr>
            <w:tcW w:type="dxa" w:w="6960"/>
            <w:tcMar>
              <w:top w:w="80" w:type="dxa"/>
              <w:start w:w="120" w:type="dxa"/>
              <w:bottom w:w="80" w:type="dxa"/>
              <w:end w:w="120" w:type="dxa"/>
            </w:tcMar>
            <w:vAlign w:val="center"/>
          </w:tcPr>
          <w:p>
            <w:pPr>
              <w:spacing w:before="0" w:after="60" w:line="259" w:lineRule="auto"/>
            </w:pPr>
            <w:r>
              <w:rPr>
                <w:rFonts w:ascii="Calibri" w:hAnsi="Calibri"/>
                <w:color w:val="111827"/>
                <w:sz w:val="19"/>
              </w:rPr>
              <w:t>Pays for the project and defines the desired outcome.</w:t>
            </w:r>
          </w:p>
        </w:tc>
      </w:tr>
      <w:tr>
        <w:trPr>
          <w:cantSplit/>
        </w:trPr>
        <w:tc>
          <w:tcPr>
            <w:tcW w:type="dxa" w:w="2400"/>
            <w:tcMar>
              <w:top w:w="80" w:type="dxa"/>
              <w:start w:w="120" w:type="dxa"/>
              <w:bottom w:w="80" w:type="dxa"/>
              <w:end w:w="120" w:type="dxa"/>
            </w:tcMar>
            <w:vAlign w:val="center"/>
          </w:tcPr>
          <w:p>
            <w:pPr>
              <w:spacing w:before="0" w:after="60" w:line="259" w:lineRule="auto"/>
            </w:pPr>
            <w:r>
              <w:rPr>
                <w:rFonts w:ascii="Calibri" w:hAnsi="Calibri"/>
                <w:color w:val="111827"/>
                <w:sz w:val="19"/>
              </w:rPr>
              <w:t>Architect and engineers</w:t>
            </w:r>
          </w:p>
        </w:tc>
        <w:tc>
          <w:tcPr>
            <w:tcW w:type="dxa" w:w="6960"/>
            <w:tcMar>
              <w:top w:w="80" w:type="dxa"/>
              <w:start w:w="120" w:type="dxa"/>
              <w:bottom w:w="80" w:type="dxa"/>
              <w:end w:w="120" w:type="dxa"/>
            </w:tcMar>
            <w:vAlign w:val="center"/>
          </w:tcPr>
          <w:p>
            <w:pPr>
              <w:spacing w:before="0" w:after="60" w:line="259" w:lineRule="auto"/>
            </w:pPr>
            <w:r>
              <w:rPr>
                <w:rFonts w:ascii="Calibri" w:hAnsi="Calibri"/>
                <w:color w:val="111827"/>
                <w:sz w:val="19"/>
              </w:rPr>
              <w:t>Create drawings and specifications describing the building.</w:t>
            </w:r>
          </w:p>
        </w:tc>
      </w:tr>
      <w:tr>
        <w:trPr>
          <w:cantSplit/>
        </w:trPr>
        <w:tc>
          <w:tcPr>
            <w:tcW w:type="dxa" w:w="2400"/>
            <w:tcMar>
              <w:top w:w="80" w:type="dxa"/>
              <w:start w:w="120" w:type="dxa"/>
              <w:bottom w:w="80" w:type="dxa"/>
              <w:end w:w="120" w:type="dxa"/>
            </w:tcMar>
            <w:vAlign w:val="center"/>
          </w:tcPr>
          <w:p>
            <w:pPr>
              <w:spacing w:before="0" w:after="60" w:line="259" w:lineRule="auto"/>
            </w:pPr>
            <w:r>
              <w:rPr>
                <w:rFonts w:ascii="Calibri" w:hAnsi="Calibri"/>
                <w:color w:val="111827"/>
                <w:sz w:val="19"/>
              </w:rPr>
              <w:t>General contractor (GC)</w:t>
            </w:r>
          </w:p>
        </w:tc>
        <w:tc>
          <w:tcPr>
            <w:tcW w:type="dxa" w:w="6960"/>
            <w:tcMar>
              <w:top w:w="80" w:type="dxa"/>
              <w:start w:w="120" w:type="dxa"/>
              <w:bottom w:w="80" w:type="dxa"/>
              <w:end w:w="120" w:type="dxa"/>
            </w:tcMar>
            <w:vAlign w:val="center"/>
          </w:tcPr>
          <w:p>
            <w:pPr>
              <w:spacing w:before="0" w:after="60" w:line="259" w:lineRule="auto"/>
            </w:pPr>
            <w:r>
              <w:rPr>
                <w:rFonts w:ascii="Calibri" w:hAnsi="Calibri"/>
                <w:color w:val="111827"/>
                <w:sz w:val="19"/>
              </w:rPr>
              <w:t>Coordinates, prices, purchases, schedules, and manages the overall construction.</w:t>
            </w:r>
          </w:p>
        </w:tc>
      </w:tr>
      <w:tr>
        <w:trPr>
          <w:cantSplit/>
        </w:trPr>
        <w:tc>
          <w:tcPr>
            <w:tcW w:type="dxa" w:w="2400"/>
            <w:tcMar>
              <w:top w:w="80" w:type="dxa"/>
              <w:start w:w="120" w:type="dxa"/>
              <w:bottom w:w="80" w:type="dxa"/>
              <w:end w:w="120" w:type="dxa"/>
            </w:tcMar>
            <w:vAlign w:val="center"/>
          </w:tcPr>
          <w:p>
            <w:pPr>
              <w:spacing w:before="0" w:after="60" w:line="259" w:lineRule="auto"/>
            </w:pPr>
            <w:r>
              <w:rPr>
                <w:rFonts w:ascii="Calibri" w:hAnsi="Calibri"/>
                <w:color w:val="111827"/>
                <w:sz w:val="19"/>
              </w:rPr>
              <w:t>Bid captain</w:t>
            </w:r>
          </w:p>
        </w:tc>
        <w:tc>
          <w:tcPr>
            <w:tcW w:type="dxa" w:w="6960"/>
            <w:tcMar>
              <w:top w:w="80" w:type="dxa"/>
              <w:start w:w="120" w:type="dxa"/>
              <w:bottom w:w="80" w:type="dxa"/>
              <w:end w:w="120" w:type="dxa"/>
            </w:tcMar>
            <w:vAlign w:val="center"/>
          </w:tcPr>
          <w:p>
            <w:pPr>
              <w:spacing w:before="0" w:after="60" w:line="259" w:lineRule="auto"/>
            </w:pPr>
            <w:r>
              <w:rPr>
                <w:rFonts w:ascii="Calibri" w:hAnsi="Calibri"/>
                <w:color w:val="111827"/>
                <w:sz w:val="19"/>
              </w:rPr>
              <w:t>Leads the preconstruction bid, sets deadlines, assigns trades, and assembles the final price.</w:t>
            </w:r>
          </w:p>
        </w:tc>
      </w:tr>
      <w:tr>
        <w:trPr>
          <w:cantSplit/>
        </w:trPr>
        <w:tc>
          <w:tcPr>
            <w:tcW w:type="dxa" w:w="2400"/>
            <w:tcMar>
              <w:top w:w="80" w:type="dxa"/>
              <w:start w:w="120" w:type="dxa"/>
              <w:bottom w:w="80" w:type="dxa"/>
              <w:end w:w="120" w:type="dxa"/>
            </w:tcMar>
            <w:vAlign w:val="center"/>
          </w:tcPr>
          <w:p>
            <w:pPr>
              <w:spacing w:before="0" w:after="60" w:line="259" w:lineRule="auto"/>
            </w:pPr>
            <w:r>
              <w:rPr>
                <w:rFonts w:ascii="Calibri" w:hAnsi="Calibri"/>
                <w:color w:val="111827"/>
                <w:sz w:val="19"/>
              </w:rPr>
              <w:t>Estimator / division leader</w:t>
            </w:r>
          </w:p>
        </w:tc>
        <w:tc>
          <w:tcPr>
            <w:tcW w:type="dxa" w:w="6960"/>
            <w:tcMar>
              <w:top w:w="80" w:type="dxa"/>
              <w:start w:w="120" w:type="dxa"/>
              <w:bottom w:w="80" w:type="dxa"/>
              <w:end w:w="120" w:type="dxa"/>
            </w:tcMar>
            <w:vAlign w:val="center"/>
          </w:tcPr>
          <w:p>
            <w:pPr>
              <w:spacing w:before="0" w:after="60" w:line="259" w:lineRule="auto"/>
            </w:pPr>
            <w:r>
              <w:rPr>
                <w:rFonts w:ascii="Calibri" w:hAnsi="Calibri"/>
                <w:color w:val="111827"/>
                <w:sz w:val="19"/>
              </w:rPr>
              <w:t>Owns one or more trades, writes scopes, contacts bidders, levels bids, and recommends an award.</w:t>
            </w:r>
          </w:p>
        </w:tc>
      </w:tr>
      <w:tr>
        <w:trPr>
          <w:cantSplit/>
        </w:trPr>
        <w:tc>
          <w:tcPr>
            <w:tcW w:type="dxa" w:w="2400"/>
            <w:tcMar>
              <w:top w:w="80" w:type="dxa"/>
              <w:start w:w="120" w:type="dxa"/>
              <w:bottom w:w="80" w:type="dxa"/>
              <w:end w:w="120" w:type="dxa"/>
            </w:tcMar>
            <w:vAlign w:val="center"/>
          </w:tcPr>
          <w:p>
            <w:pPr>
              <w:spacing w:before="0" w:after="60" w:line="259" w:lineRule="auto"/>
            </w:pPr>
            <w:r>
              <w:rPr>
                <w:rFonts w:ascii="Calibri" w:hAnsi="Calibri"/>
                <w:color w:val="111827"/>
                <w:sz w:val="19"/>
              </w:rPr>
              <w:t>Subcontractor / sub</w:t>
            </w:r>
          </w:p>
        </w:tc>
        <w:tc>
          <w:tcPr>
            <w:tcW w:type="dxa" w:w="6960"/>
            <w:tcMar>
              <w:top w:w="80" w:type="dxa"/>
              <w:start w:w="120" w:type="dxa"/>
              <w:bottom w:w="80" w:type="dxa"/>
              <w:end w:w="120" w:type="dxa"/>
            </w:tcMar>
            <w:vAlign w:val="center"/>
          </w:tcPr>
          <w:p>
            <w:pPr>
              <w:spacing w:before="0" w:after="60" w:line="259" w:lineRule="auto"/>
            </w:pPr>
            <w:r>
              <w:rPr>
                <w:rFonts w:ascii="Calibri" w:hAnsi="Calibri"/>
                <w:color w:val="111827"/>
                <w:sz w:val="19"/>
              </w:rPr>
              <w:t>A separate specialist company bidding to perform one trade, such as concrete or electrical work.</w:t>
            </w:r>
          </w:p>
        </w:tc>
      </w:tr>
    </w:tbl>
    <w:p>
      <w:pPr>
        <w:spacing w:after="40"/>
      </w:pPr>
    </w:p>
    <w:p>
      <w:pPr>
        <w:pStyle w:val="Heading2"/>
      </w:pPr>
      <w:r>
        <w:t>What Marcel is really selling</w:t>
      </w:r>
    </w:p>
    <w:p>
      <w:r>
        <w:rPr>
          <w:rFonts w:ascii="Calibri" w:hAnsi="Calibri"/>
          <w:color w:val="111827"/>
        </w:rPr>
        <w:t>He is not merely producing spreadsheets. He is producing confidence: confidence that the project scope is complete, that competing bids are comparable, that the budget does not hide missing work, and that the awarded contract clearly says what the subcontractor must provide.</w:t>
      </w:r>
    </w:p>
    <w:p>
      <w:pPr>
        <w:keepNext/>
        <w:spacing w:after="0"/>
        <w:jc w:val="center"/>
      </w:pPr>
      <w:r>
        <w:drawing>
          <wp:inline xmlns:a="http://schemas.openxmlformats.org/drawingml/2006/main" xmlns:pic="http://schemas.openxmlformats.org/drawingml/2006/picture">
            <wp:extent cx="5897880" cy="2490216"/>
            <wp:docPr id="1" name="Picture 1" descr="Five-stage flow from design documents through scopes, proposals, bid leveling, budget, and award, with human approval across all stages."/>
            <wp:cNvGraphicFramePr>
              <a:graphicFrameLocks noChangeAspect="1"/>
            </wp:cNvGraphicFramePr>
            <a:graphic>
              <a:graphicData uri="http://schemas.openxmlformats.org/drawingml/2006/picture">
                <pic:pic>
                  <pic:nvPicPr>
                    <pic:cNvPr id="0" name="end_to_end_flow.png"/>
                    <pic:cNvPicPr/>
                  </pic:nvPicPr>
                  <pic:blipFill>
                    <a:blip r:embed="rId11"/>
                    <a:stretch>
                      <a:fillRect/>
                    </a:stretch>
                  </pic:blipFill>
                  <pic:spPr>
                    <a:xfrm>
                      <a:off x="0" y="0"/>
                      <a:ext cx="5897880" cy="2490216"/>
                    </a:xfrm>
                    <a:prstGeom prst="rect"/>
                  </pic:spPr>
                </pic:pic>
              </a:graphicData>
            </a:graphic>
          </wp:inline>
        </w:drawing>
      </w:r>
    </w:p>
    <w:p>
      <w:pPr>
        <w:pStyle w:val="FigureCaption"/>
        <w:jc w:val="center"/>
      </w:pPr>
      <w:r>
        <w:t>Figure 1. The entire preconstruction flow in one picture.</w:t>
      </w:r>
    </w:p>
    <w:p>
      <w:pPr>
        <w:pStyle w:val="Heading2"/>
      </w:pPr>
      <w:r>
        <w:t>The central risk</w:t>
      </w:r>
    </w:p>
    <w:p>
      <w:r>
        <w:rPr>
          <w:rFonts w:ascii="Calibri" w:hAnsi="Calibri"/>
          <w:color w:val="111827"/>
        </w:rPr>
        <w:t>A cheap-looking bid can be expensive if it excludes work that another bidder included. If nobody owns an item, the GC may discover the gap after the budget is committed. The missing work then becomes a cost overrun, dispute, or change order. Most of Marcel's process exists to prevent that outcome.</w:t>
      </w:r>
    </w:p>
    <w:p>
      <w:r>
        <w:br w:type="page"/>
      </w:r>
    </w:p>
    <w:p>
      <w:pPr>
        <w:pStyle w:val="Heading1"/>
      </w:pPr>
      <w:r>
        <w:t>2. What Marcel actually does every day</w:t>
      </w:r>
    </w:p>
    <w:p>
      <w:r>
        <w:rPr>
          <w:rFonts w:ascii="Calibri" w:hAnsi="Calibri"/>
          <w:color w:val="111827"/>
        </w:rPr>
        <w:t>The meeting described the following operational sequence. In practice, several steps overlap and different estimators work in parallel.</w:t>
      </w:r>
    </w:p>
    <w:p>
      <w:pPr>
        <w:spacing w:after="80" w:line="300" w:lineRule="auto"/>
        <w:ind w:left="540" w:hanging="271"/>
        <w:numPr>
          <w:ilvl w:val="0"/>
          <w:numId w:val="51"/>
        </w:numPr>
      </w:pPr>
      <w:r>
        <w:rPr>
          <w:rFonts w:ascii="Calibri" w:hAnsi="Calibri"/>
          <w:b/>
          <w:color w:val="0B2545"/>
        </w:rPr>
        <w:t xml:space="preserve">Receive project documents. </w:t>
      </w:r>
      <w:r>
        <w:rPr>
          <w:rFonts w:ascii="Calibri" w:hAnsi="Calibri"/>
          <w:color w:val="111827"/>
        </w:rPr>
        <w:t>The owner or architect provides drawings, specifications, reports, addenda, schedules, and instructions.</w:t>
      </w:r>
    </w:p>
    <w:p>
      <w:pPr>
        <w:spacing w:after="80" w:line="300" w:lineRule="auto"/>
        <w:ind w:left="540" w:hanging="271"/>
        <w:numPr>
          <w:ilvl w:val="0"/>
          <w:numId w:val="51"/>
        </w:numPr>
      </w:pPr>
      <w:r>
        <w:rPr>
          <w:rFonts w:ascii="Calibri" w:hAnsi="Calibri"/>
          <w:b/>
          <w:color w:val="0B2545"/>
        </w:rPr>
        <w:t xml:space="preserve">Perform a drawing flip. </w:t>
      </w:r>
      <w:r>
        <w:rPr>
          <w:rFonts w:ascii="Calibri" w:hAnsi="Calibri"/>
          <w:color w:val="111827"/>
        </w:rPr>
        <w:t>The bid captain reviews the set, identifies which CSI divisions and trades apply, and assigns them to estimators.</w:t>
      </w:r>
    </w:p>
    <w:p>
      <w:pPr>
        <w:spacing w:after="80" w:line="300" w:lineRule="auto"/>
        <w:ind w:left="540" w:hanging="271"/>
        <w:numPr>
          <w:ilvl w:val="0"/>
          <w:numId w:val="51"/>
        </w:numPr>
      </w:pPr>
      <w:r>
        <w:rPr>
          <w:rFonts w:ascii="Calibri" w:hAnsi="Calibri"/>
          <w:b/>
          <w:color w:val="0B2545"/>
        </w:rPr>
        <w:t xml:space="preserve">Write one scope per trade. </w:t>
      </w:r>
      <w:r>
        <w:rPr>
          <w:rFonts w:ascii="Calibri" w:hAnsi="Calibri"/>
          <w:color w:val="111827"/>
        </w:rPr>
        <w:t>Each estimator reads the relevant drawings and specifications and converts them into a checklist of everything that trade must include.</w:t>
      </w:r>
    </w:p>
    <w:p>
      <w:pPr>
        <w:spacing w:after="80" w:line="300" w:lineRule="auto"/>
        <w:ind w:left="540" w:hanging="271"/>
        <w:numPr>
          <w:ilvl w:val="0"/>
          <w:numId w:val="51"/>
        </w:numPr>
      </w:pPr>
      <w:r>
        <w:rPr>
          <w:rFonts w:ascii="Calibri" w:hAnsi="Calibri"/>
          <w:b/>
          <w:color w:val="0B2545"/>
        </w:rPr>
        <w:t xml:space="preserve">Invite subcontractors. </w:t>
      </w:r>
      <w:r>
        <w:rPr>
          <w:rFonts w:ascii="Calibri" w:hAnsi="Calibri"/>
          <w:color w:val="111827"/>
        </w:rPr>
        <w:t>The estimator sends the package to several qualified companies through BuildingConnected, email, or another outreach process.</w:t>
      </w:r>
    </w:p>
    <w:p>
      <w:pPr>
        <w:spacing w:after="80" w:line="300" w:lineRule="auto"/>
        <w:ind w:left="540" w:hanging="271"/>
        <w:numPr>
          <w:ilvl w:val="0"/>
          <w:numId w:val="51"/>
        </w:numPr>
      </w:pPr>
      <w:r>
        <w:rPr>
          <w:rFonts w:ascii="Calibri" w:hAnsi="Calibri"/>
          <w:b/>
          <w:color w:val="0B2545"/>
        </w:rPr>
        <w:t xml:space="preserve">Answer questions and issue RFIs. </w:t>
      </w:r>
      <w:r>
        <w:rPr>
          <w:rFonts w:ascii="Calibri" w:hAnsi="Calibri"/>
          <w:color w:val="111827"/>
        </w:rPr>
        <w:t>Subcontractors and estimators flag missing, unclear, or contradictory information before pricing is finalized.</w:t>
      </w:r>
    </w:p>
    <w:p>
      <w:pPr>
        <w:spacing w:after="80" w:line="300" w:lineRule="auto"/>
        <w:ind w:left="540" w:hanging="271"/>
        <w:numPr>
          <w:ilvl w:val="0"/>
          <w:numId w:val="51"/>
        </w:numPr>
      </w:pPr>
      <w:r>
        <w:rPr>
          <w:rFonts w:ascii="Calibri" w:hAnsi="Calibri"/>
          <w:b/>
          <w:color w:val="0B2545"/>
        </w:rPr>
        <w:t xml:space="preserve">Receive proposals. </w:t>
      </w:r>
      <w:r>
        <w:rPr>
          <w:rFonts w:ascii="Calibri" w:hAnsi="Calibri"/>
          <w:color w:val="111827"/>
        </w:rPr>
        <w:t>Each bidder returns a price plus inclusions, exclusions, allowances, alternates, and qualifications, usually by email.</w:t>
      </w:r>
    </w:p>
    <w:p>
      <w:pPr>
        <w:spacing w:after="80" w:line="300" w:lineRule="auto"/>
        <w:ind w:left="540" w:hanging="271"/>
        <w:numPr>
          <w:ilvl w:val="0"/>
          <w:numId w:val="51"/>
        </w:numPr>
      </w:pPr>
      <w:r>
        <w:rPr>
          <w:rFonts w:ascii="Calibri" w:hAnsi="Calibri"/>
          <w:b/>
          <w:color w:val="0B2545"/>
        </w:rPr>
        <w:t xml:space="preserve">Level the bids. </w:t>
      </w:r>
      <w:r>
        <w:rPr>
          <w:rFonts w:ascii="Calibri" w:hAnsi="Calibri"/>
          <w:color w:val="111827"/>
        </w:rPr>
        <w:t>The estimator compares each proposal against the same master scope, records Y/N/P, and adds internal adjustments for missing work.</w:t>
      </w:r>
    </w:p>
    <w:p>
      <w:pPr>
        <w:spacing w:after="80" w:line="300" w:lineRule="auto"/>
        <w:ind w:left="540" w:hanging="271"/>
        <w:numPr>
          <w:ilvl w:val="0"/>
          <w:numId w:val="51"/>
        </w:numPr>
      </w:pPr>
      <w:r>
        <w:rPr>
          <w:rFonts w:ascii="Calibri" w:hAnsi="Calibri"/>
          <w:b/>
          <w:color w:val="0B2545"/>
        </w:rPr>
        <w:t xml:space="preserve">Select a value and update the budget. </w:t>
      </w:r>
      <w:r>
        <w:rPr>
          <w:rFonts w:ascii="Calibri" w:hAnsi="Calibri"/>
          <w:color w:val="111827"/>
        </w:rPr>
        <w:t>The reviewed bid becomes the current expected cost for that trade; all trade values roll into the project total.</w:t>
      </w:r>
    </w:p>
    <w:p>
      <w:pPr>
        <w:spacing w:after="80" w:line="300" w:lineRule="auto"/>
        <w:ind w:left="540" w:hanging="271"/>
        <w:numPr>
          <w:ilvl w:val="0"/>
          <w:numId w:val="51"/>
        </w:numPr>
      </w:pPr>
      <w:r>
        <w:rPr>
          <w:rFonts w:ascii="Calibri" w:hAnsi="Calibri"/>
          <w:b/>
          <w:color w:val="0B2545"/>
        </w:rPr>
        <w:t xml:space="preserve">Review scope and award. </w:t>
      </w:r>
      <w:r>
        <w:rPr>
          <w:rFonts w:ascii="Calibri" w:hAnsi="Calibri"/>
          <w:color w:val="111827"/>
        </w:rPr>
        <w:t>The team meets with the preferred bidder, resolves remaining gaps, and makes an award recommendation.</w:t>
      </w:r>
    </w:p>
    <w:p>
      <w:pPr>
        <w:spacing w:after="80" w:line="300" w:lineRule="auto"/>
        <w:ind w:left="540" w:hanging="271"/>
        <w:numPr>
          <w:ilvl w:val="0"/>
          <w:numId w:val="51"/>
        </w:numPr>
      </w:pPr>
      <w:r>
        <w:rPr>
          <w:rFonts w:ascii="Calibri" w:hAnsi="Calibri"/>
          <w:b/>
          <w:color w:val="0B2545"/>
        </w:rPr>
        <w:t xml:space="preserve">Create Exhibit A. </w:t>
      </w:r>
      <w:r>
        <w:rPr>
          <w:rFonts w:ascii="Calibri" w:hAnsi="Calibri"/>
          <w:color w:val="111827"/>
        </w:rPr>
        <w:t>The approved scope is rewritten or formatted as the variable scope section of the subcontract.</w:t>
      </w:r>
    </w:p>
    <w:p>
      <w:pPr>
        <w:pStyle w:val="Heading2"/>
      </w:pPr>
      <w:r>
        <w:t>Why it takes so long</w:t>
      </w:r>
    </w:p>
    <w:p>
      <w:r>
        <w:rPr>
          <w:rFonts w:ascii="Calibri" w:hAnsi="Calibri"/>
          <w:color w:val="111827"/>
        </w:rPr>
        <w:t>Marcel said a drawing and specification package can contain roughly 1,000 to 5,000 pages. The team repeats the scope and leveling exercise across approximately 70 to 80 trades. The difficult work is not the addition formula; it is reading, classifying, comparing, and documenting thousands of facts and judgments.</w:t>
      </w:r>
    </w:p>
    <w:p>
      <w:pPr>
        <w:pStyle w:val="Heading2"/>
      </w:pPr>
      <w:r>
        <w:t>What Marcel personally contributes</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3100"/>
        <w:gridCol w:w="6260"/>
      </w:tblGrid>
      <w:tr>
        <w:trPr>
          <w:tblHeader w:val="true"/>
          <w:cantSplit/>
        </w:trPr>
        <w:tc>
          <w:tcPr>
            <w:tcW w:type="dxa" w:w="3100"/>
            <w:tcMar>
              <w:top w:w="80" w:type="dxa"/>
              <w:start w:w="120" w:type="dxa"/>
              <w:bottom w:w="80" w:type="dxa"/>
              <w:end w:w="120" w:type="dxa"/>
            </w:tcMar>
            <w:vAlign w:val="center"/>
            <w:shd w:fill="E8EEF5"/>
          </w:tcPr>
          <w:p>
            <w:pPr>
              <w:keepNext/>
              <w:spacing w:before="0" w:after="60" w:line="259" w:lineRule="auto"/>
            </w:pPr>
            <w:r>
              <w:rPr>
                <w:rFonts w:ascii="Calibri" w:hAnsi="Calibri"/>
                <w:b/>
                <w:color w:val="0B2545"/>
                <w:sz w:val="18"/>
              </w:rPr>
              <w:t>Marcel's contribution</w:t>
            </w:r>
          </w:p>
        </w:tc>
        <w:tc>
          <w:tcPr>
            <w:tcW w:type="dxa" w:w="6260"/>
            <w:tcMar>
              <w:top w:w="80" w:type="dxa"/>
              <w:start w:w="120" w:type="dxa"/>
              <w:bottom w:w="80" w:type="dxa"/>
              <w:end w:w="120" w:type="dxa"/>
            </w:tcMar>
            <w:vAlign w:val="center"/>
            <w:shd w:fill="E8EEF5"/>
          </w:tcPr>
          <w:p>
            <w:pPr>
              <w:keepNext/>
              <w:spacing w:before="0" w:after="60" w:line="259" w:lineRule="auto"/>
            </w:pPr>
            <w:r>
              <w:rPr>
                <w:rFonts w:ascii="Calibri" w:hAnsi="Calibri"/>
                <w:b/>
                <w:color w:val="0B2545"/>
                <w:sz w:val="18"/>
              </w:rPr>
              <w:t>Why software cannot blindly replace it</w:t>
            </w:r>
          </w:p>
        </w:tc>
      </w:tr>
      <w:tr>
        <w:trPr>
          <w:cantSplit/>
        </w:trPr>
        <w:tc>
          <w:tcPr>
            <w:tcW w:type="dxa" w:w="3100"/>
            <w:tcMar>
              <w:top w:w="80" w:type="dxa"/>
              <w:start w:w="120" w:type="dxa"/>
              <w:bottom w:w="80" w:type="dxa"/>
              <w:end w:w="120" w:type="dxa"/>
            </w:tcMar>
            <w:vAlign w:val="center"/>
          </w:tcPr>
          <w:p>
            <w:pPr>
              <w:spacing w:before="0" w:after="60" w:line="259" w:lineRule="auto"/>
            </w:pPr>
            <w:r>
              <w:rPr>
                <w:rFonts w:ascii="Calibri" w:hAnsi="Calibri"/>
                <w:color w:val="111827"/>
                <w:sz w:val="19"/>
              </w:rPr>
              <w:t>Trade ownership judgment</w:t>
            </w:r>
          </w:p>
        </w:tc>
        <w:tc>
          <w:tcPr>
            <w:tcW w:type="dxa" w:w="6260"/>
            <w:tcMar>
              <w:top w:w="80" w:type="dxa"/>
              <w:start w:w="120" w:type="dxa"/>
              <w:bottom w:w="80" w:type="dxa"/>
              <w:end w:w="120" w:type="dxa"/>
            </w:tcMar>
            <w:vAlign w:val="center"/>
          </w:tcPr>
          <w:p>
            <w:pPr>
              <w:spacing w:before="0" w:after="60" w:line="259" w:lineRule="auto"/>
            </w:pPr>
            <w:r>
              <w:rPr>
                <w:rFonts w:ascii="Calibri" w:hAnsi="Calibri"/>
                <w:color w:val="111827"/>
                <w:sz w:val="19"/>
              </w:rPr>
              <w:t>A note can appear on one drawing but belong contractually to a different trade.</w:t>
            </w:r>
          </w:p>
        </w:tc>
      </w:tr>
      <w:tr>
        <w:trPr>
          <w:cantSplit/>
        </w:trPr>
        <w:tc>
          <w:tcPr>
            <w:tcW w:type="dxa" w:w="3100"/>
            <w:tcMar>
              <w:top w:w="80" w:type="dxa"/>
              <w:start w:w="120" w:type="dxa"/>
              <w:bottom w:w="80" w:type="dxa"/>
              <w:end w:w="120" w:type="dxa"/>
            </w:tcMar>
            <w:vAlign w:val="center"/>
          </w:tcPr>
          <w:p>
            <w:pPr>
              <w:spacing w:before="0" w:after="60" w:line="259" w:lineRule="auto"/>
            </w:pPr>
            <w:r>
              <w:rPr>
                <w:rFonts w:ascii="Calibri" w:hAnsi="Calibri"/>
                <w:color w:val="111827"/>
                <w:sz w:val="19"/>
              </w:rPr>
              <w:t>Scope completeness</w:t>
            </w:r>
          </w:p>
        </w:tc>
        <w:tc>
          <w:tcPr>
            <w:tcW w:type="dxa" w:w="6260"/>
            <w:tcMar>
              <w:top w:w="80" w:type="dxa"/>
              <w:start w:w="120" w:type="dxa"/>
              <w:bottom w:w="80" w:type="dxa"/>
              <w:end w:w="120" w:type="dxa"/>
            </w:tcMar>
            <w:vAlign w:val="center"/>
          </w:tcPr>
          <w:p>
            <w:pPr>
              <w:spacing w:before="0" w:after="60" w:line="259" w:lineRule="auto"/>
            </w:pPr>
            <w:r>
              <w:rPr>
                <w:rFonts w:ascii="Calibri" w:hAnsi="Calibri"/>
                <w:color w:val="111827"/>
                <w:sz w:val="19"/>
              </w:rPr>
              <w:t>Generic scope language must be combined with project-specific details and coordination requirements.</w:t>
            </w:r>
          </w:p>
        </w:tc>
      </w:tr>
      <w:tr>
        <w:trPr>
          <w:cantSplit/>
        </w:trPr>
        <w:tc>
          <w:tcPr>
            <w:tcW w:type="dxa" w:w="3100"/>
            <w:tcMar>
              <w:top w:w="80" w:type="dxa"/>
              <w:start w:w="120" w:type="dxa"/>
              <w:bottom w:w="80" w:type="dxa"/>
              <w:end w:w="120" w:type="dxa"/>
            </w:tcMar>
            <w:vAlign w:val="center"/>
          </w:tcPr>
          <w:p>
            <w:pPr>
              <w:spacing w:before="0" w:after="60" w:line="259" w:lineRule="auto"/>
            </w:pPr>
            <w:r>
              <w:rPr>
                <w:rFonts w:ascii="Calibri" w:hAnsi="Calibri"/>
                <w:color w:val="111827"/>
                <w:sz w:val="19"/>
              </w:rPr>
              <w:t>Proposal interpretation</w:t>
            </w:r>
          </w:p>
        </w:tc>
        <w:tc>
          <w:tcPr>
            <w:tcW w:type="dxa" w:w="6260"/>
            <w:tcMar>
              <w:top w:w="80" w:type="dxa"/>
              <w:start w:w="120" w:type="dxa"/>
              <w:bottom w:w="80" w:type="dxa"/>
              <w:end w:w="120" w:type="dxa"/>
            </w:tcMar>
            <w:vAlign w:val="center"/>
          </w:tcPr>
          <w:p>
            <w:pPr>
              <w:spacing w:before="0" w:after="60" w:line="259" w:lineRule="auto"/>
            </w:pPr>
            <w:r>
              <w:rPr>
                <w:rFonts w:ascii="Calibri" w:hAnsi="Calibri"/>
                <w:color w:val="111827"/>
                <w:sz w:val="19"/>
              </w:rPr>
              <w:t>Subcontractor wording is inconsistent and may imply partial coverage rather than a clean yes or no.</w:t>
            </w:r>
          </w:p>
        </w:tc>
      </w:tr>
      <w:tr>
        <w:trPr>
          <w:cantSplit/>
        </w:trPr>
        <w:tc>
          <w:tcPr>
            <w:tcW w:type="dxa" w:w="3100"/>
            <w:tcMar>
              <w:top w:w="80" w:type="dxa"/>
              <w:start w:w="120" w:type="dxa"/>
              <w:bottom w:w="80" w:type="dxa"/>
              <w:end w:w="120" w:type="dxa"/>
            </w:tcMar>
            <w:vAlign w:val="center"/>
          </w:tcPr>
          <w:p>
            <w:pPr>
              <w:spacing w:before="0" w:after="60" w:line="259" w:lineRule="auto"/>
            </w:pPr>
            <w:r>
              <w:rPr>
                <w:rFonts w:ascii="Calibri" w:hAnsi="Calibri"/>
                <w:color w:val="111827"/>
                <w:sz w:val="19"/>
              </w:rPr>
              <w:t>Adjustment pricing</w:t>
            </w:r>
          </w:p>
        </w:tc>
        <w:tc>
          <w:tcPr>
            <w:tcW w:type="dxa" w:w="6260"/>
            <w:tcMar>
              <w:top w:w="80" w:type="dxa"/>
              <w:start w:w="120" w:type="dxa"/>
              <w:bottom w:w="80" w:type="dxa"/>
              <w:end w:w="120" w:type="dxa"/>
            </w:tcMar>
            <w:vAlign w:val="center"/>
          </w:tcPr>
          <w:p>
            <w:pPr>
              <w:spacing w:before="0" w:after="60" w:line="259" w:lineRule="auto"/>
            </w:pPr>
            <w:r>
              <w:rPr>
                <w:rFonts w:ascii="Calibri" w:hAnsi="Calibri"/>
                <w:color w:val="111827"/>
                <w:sz w:val="19"/>
              </w:rPr>
              <w:t>The cost of missing work depends on quantities, unit rates, market conditions, logistics, and risk.</w:t>
            </w:r>
          </w:p>
        </w:tc>
      </w:tr>
      <w:tr>
        <w:trPr>
          <w:cantSplit/>
        </w:trPr>
        <w:tc>
          <w:tcPr>
            <w:tcW w:type="dxa" w:w="3100"/>
            <w:tcMar>
              <w:top w:w="80" w:type="dxa"/>
              <w:start w:w="120" w:type="dxa"/>
              <w:bottom w:w="80" w:type="dxa"/>
              <w:end w:w="120" w:type="dxa"/>
            </w:tcMar>
            <w:vAlign w:val="center"/>
          </w:tcPr>
          <w:p>
            <w:pPr>
              <w:spacing w:before="0" w:after="60" w:line="259" w:lineRule="auto"/>
            </w:pPr>
            <w:r>
              <w:rPr>
                <w:rFonts w:ascii="Calibri" w:hAnsi="Calibri"/>
                <w:color w:val="111827"/>
                <w:sz w:val="19"/>
              </w:rPr>
              <w:t>Award recommendation</w:t>
            </w:r>
          </w:p>
        </w:tc>
        <w:tc>
          <w:tcPr>
            <w:tcW w:type="dxa" w:w="6260"/>
            <w:tcMar>
              <w:top w:w="80" w:type="dxa"/>
              <w:start w:w="120" w:type="dxa"/>
              <w:bottom w:w="80" w:type="dxa"/>
              <w:end w:w="120" w:type="dxa"/>
            </w:tcMar>
            <w:vAlign w:val="center"/>
          </w:tcPr>
          <w:p>
            <w:pPr>
              <w:spacing w:before="0" w:after="60" w:line="259" w:lineRule="auto"/>
            </w:pPr>
            <w:r>
              <w:rPr>
                <w:rFonts w:ascii="Calibri" w:hAnsi="Calibri"/>
                <w:color w:val="111827"/>
                <w:sz w:val="19"/>
              </w:rPr>
              <w:t>Price matters, but so do capability, schedule, qualifications, relationships, and commercial risk.</w:t>
            </w:r>
          </w:p>
        </w:tc>
      </w:tr>
      <w:tr>
        <w:trPr>
          <w:cantSplit/>
        </w:trPr>
        <w:tc>
          <w:tcPr>
            <w:tcW w:type="dxa" w:w="3100"/>
            <w:tcMar>
              <w:top w:w="80" w:type="dxa"/>
              <w:start w:w="120" w:type="dxa"/>
              <w:bottom w:w="80" w:type="dxa"/>
              <w:end w:w="120" w:type="dxa"/>
            </w:tcMar>
            <w:vAlign w:val="center"/>
          </w:tcPr>
          <w:p>
            <w:pPr>
              <w:spacing w:before="0" w:after="60" w:line="259" w:lineRule="auto"/>
            </w:pPr>
            <w:r>
              <w:rPr>
                <w:rFonts w:ascii="Calibri" w:hAnsi="Calibri"/>
                <w:color w:val="111827"/>
                <w:sz w:val="19"/>
              </w:rPr>
              <w:t>Contract judgment</w:t>
            </w:r>
          </w:p>
        </w:tc>
        <w:tc>
          <w:tcPr>
            <w:tcW w:type="dxa" w:w="6260"/>
            <w:tcMar>
              <w:top w:w="80" w:type="dxa"/>
              <w:start w:w="120" w:type="dxa"/>
              <w:bottom w:w="80" w:type="dxa"/>
              <w:end w:w="120" w:type="dxa"/>
            </w:tcMar>
            <w:vAlign w:val="center"/>
          </w:tcPr>
          <w:p>
            <w:pPr>
              <w:spacing w:before="0" w:after="60" w:line="259" w:lineRule="auto"/>
            </w:pPr>
            <w:r>
              <w:rPr>
                <w:rFonts w:ascii="Calibri" w:hAnsi="Calibri"/>
                <w:color w:val="111827"/>
                <w:sz w:val="19"/>
              </w:rPr>
              <w:t>An approved scope becomes a binding obligation and requires legal and operational review.</w:t>
            </w:r>
          </w:p>
        </w:tc>
      </w:tr>
    </w:tbl>
    <w:p>
      <w:pPr>
        <w:spacing w:after="40"/>
      </w:pPr>
    </w:p>
    <w:p>
      <w:r>
        <w:br w:type="page"/>
      </w:r>
    </w:p>
    <w:p>
      <w:pPr>
        <w:pStyle w:val="Heading1"/>
      </w:pPr>
      <w:r>
        <w:t>3. The documents and construction vocabulary</w:t>
      </w:r>
    </w:p>
    <w:p>
      <w:pPr>
        <w:pStyle w:val="Heading2"/>
      </w:pPr>
      <w:r>
        <w:t>Drawings versus specifications</w:t>
      </w:r>
    </w:p>
    <w:p>
      <w:r>
        <w:rPr>
          <w:rFonts w:ascii="Calibri" w:hAnsi="Calibri"/>
          <w:color w:val="111827"/>
        </w:rPr>
        <w:t>Drawings show where things are, their arrangement, dimensions, and relationships. The project manual or specifications explain materials, products, quality standards, execution requirements, testing, warranties, and other details. Marcel summarized the distinction as: drawings show what must be done; specifications explain how it must be done.</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950"/>
        <w:gridCol w:w="3450"/>
        <w:gridCol w:w="3960"/>
      </w:tblGrid>
      <w:tr>
        <w:trPr>
          <w:tblHeader w:val="true"/>
          <w:cantSplit/>
        </w:trPr>
        <w:tc>
          <w:tcPr>
            <w:tcW w:type="dxa" w:w="195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Source</w:t>
            </w:r>
          </w:p>
        </w:tc>
        <w:tc>
          <w:tcPr>
            <w:tcW w:type="dxa" w:w="345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Typical information</w:t>
            </w:r>
          </w:p>
        </w:tc>
        <w:tc>
          <w:tcPr>
            <w:tcW w:type="dxa" w:w="39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Example</w:t>
            </w:r>
          </w:p>
        </w:tc>
      </w:tr>
      <w:tr>
        <w:trPr>
          <w:cantSplit/>
        </w:trPr>
        <w:tc>
          <w:tcPr>
            <w:tcW w:type="dxa" w:w="1950"/>
            <w:tcMar>
              <w:top w:w="80" w:type="dxa"/>
              <w:start w:w="120" w:type="dxa"/>
              <w:bottom w:w="80" w:type="dxa"/>
              <w:end w:w="120" w:type="dxa"/>
            </w:tcMar>
            <w:vAlign w:val="center"/>
          </w:tcPr>
          <w:p>
            <w:pPr>
              <w:spacing w:before="0" w:after="40" w:line="259" w:lineRule="auto"/>
            </w:pPr>
            <w:r>
              <w:rPr>
                <w:rFonts w:ascii="Calibri" w:hAnsi="Calibri"/>
                <w:color w:val="111827"/>
                <w:sz w:val="18"/>
              </w:rPr>
              <w:t>Architectural drawings</w:t>
            </w:r>
          </w:p>
        </w:tc>
        <w:tc>
          <w:tcPr>
            <w:tcW w:type="dxa" w:w="3450"/>
            <w:tcMar>
              <w:top w:w="80" w:type="dxa"/>
              <w:start w:w="120" w:type="dxa"/>
              <w:bottom w:w="80" w:type="dxa"/>
              <w:end w:w="120" w:type="dxa"/>
            </w:tcMar>
            <w:vAlign w:val="center"/>
          </w:tcPr>
          <w:p>
            <w:pPr>
              <w:spacing w:before="0" w:after="40" w:line="259" w:lineRule="auto"/>
            </w:pPr>
            <w:r>
              <w:rPr>
                <w:rFonts w:ascii="Calibri" w:hAnsi="Calibri"/>
                <w:color w:val="111827"/>
                <w:sz w:val="18"/>
              </w:rPr>
              <w:t>Rooms, walls, doors, finishes, elevations, details</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Where gypsum partitions and flooring occur</w:t>
            </w:r>
          </w:p>
        </w:tc>
      </w:tr>
      <w:tr>
        <w:trPr>
          <w:cantSplit/>
        </w:trPr>
        <w:tc>
          <w:tcPr>
            <w:tcW w:type="dxa" w:w="1950"/>
            <w:tcMar>
              <w:top w:w="80" w:type="dxa"/>
              <w:start w:w="120" w:type="dxa"/>
              <w:bottom w:w="80" w:type="dxa"/>
              <w:end w:w="120" w:type="dxa"/>
            </w:tcMar>
            <w:vAlign w:val="center"/>
          </w:tcPr>
          <w:p>
            <w:pPr>
              <w:spacing w:before="0" w:after="40" w:line="259" w:lineRule="auto"/>
            </w:pPr>
            <w:r>
              <w:rPr>
                <w:rFonts w:ascii="Calibri" w:hAnsi="Calibri"/>
                <w:color w:val="111827"/>
                <w:sz w:val="18"/>
              </w:rPr>
              <w:t>Structural drawings</w:t>
            </w:r>
          </w:p>
        </w:tc>
        <w:tc>
          <w:tcPr>
            <w:tcW w:type="dxa" w:w="3450"/>
            <w:tcMar>
              <w:top w:w="80" w:type="dxa"/>
              <w:start w:w="120" w:type="dxa"/>
              <w:bottom w:w="80" w:type="dxa"/>
              <w:end w:w="120" w:type="dxa"/>
            </w:tcMar>
            <w:vAlign w:val="center"/>
          </w:tcPr>
          <w:p>
            <w:pPr>
              <w:spacing w:before="0" w:after="40" w:line="259" w:lineRule="auto"/>
            </w:pPr>
            <w:r>
              <w:rPr>
                <w:rFonts w:ascii="Calibri" w:hAnsi="Calibri"/>
                <w:color w:val="111827"/>
                <w:sz w:val="18"/>
              </w:rPr>
              <w:t>Foundations, slabs, beams, columns, steel and reinforcing</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Thickness and reinforcement of a concrete slab</w:t>
            </w:r>
          </w:p>
        </w:tc>
      </w:tr>
      <w:tr>
        <w:trPr>
          <w:cantSplit/>
        </w:trPr>
        <w:tc>
          <w:tcPr>
            <w:tcW w:type="dxa" w:w="1950"/>
            <w:tcMar>
              <w:top w:w="80" w:type="dxa"/>
              <w:start w:w="120" w:type="dxa"/>
              <w:bottom w:w="80" w:type="dxa"/>
              <w:end w:w="120" w:type="dxa"/>
            </w:tcMar>
            <w:vAlign w:val="center"/>
          </w:tcPr>
          <w:p>
            <w:pPr>
              <w:spacing w:before="0" w:after="40" w:line="259" w:lineRule="auto"/>
            </w:pPr>
            <w:r>
              <w:rPr>
                <w:rFonts w:ascii="Calibri" w:hAnsi="Calibri"/>
                <w:color w:val="111827"/>
                <w:sz w:val="18"/>
              </w:rPr>
              <w:t>Civil drawings</w:t>
            </w:r>
          </w:p>
        </w:tc>
        <w:tc>
          <w:tcPr>
            <w:tcW w:type="dxa" w:w="3450"/>
            <w:tcMar>
              <w:top w:w="80" w:type="dxa"/>
              <w:start w:w="120" w:type="dxa"/>
              <w:bottom w:w="80" w:type="dxa"/>
              <w:end w:w="120" w:type="dxa"/>
            </w:tcMar>
            <w:vAlign w:val="center"/>
          </w:tcPr>
          <w:p>
            <w:pPr>
              <w:spacing w:before="0" w:after="40" w:line="259" w:lineRule="auto"/>
            </w:pPr>
            <w:r>
              <w:rPr>
                <w:rFonts w:ascii="Calibri" w:hAnsi="Calibri"/>
                <w:color w:val="111827"/>
                <w:sz w:val="18"/>
              </w:rPr>
              <w:t>Grading, roads, exterior utilities, drainage and site work</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Sanitary line from the street to the building</w:t>
            </w:r>
          </w:p>
        </w:tc>
      </w:tr>
      <w:tr>
        <w:trPr>
          <w:cantSplit/>
        </w:trPr>
        <w:tc>
          <w:tcPr>
            <w:tcW w:type="dxa" w:w="1950"/>
            <w:tcMar>
              <w:top w:w="80" w:type="dxa"/>
              <w:start w:w="120" w:type="dxa"/>
              <w:bottom w:w="80" w:type="dxa"/>
              <w:end w:w="120" w:type="dxa"/>
            </w:tcMar>
            <w:vAlign w:val="center"/>
          </w:tcPr>
          <w:p>
            <w:pPr>
              <w:spacing w:before="0" w:after="40" w:line="259" w:lineRule="auto"/>
            </w:pPr>
            <w:r>
              <w:rPr>
                <w:rFonts w:ascii="Calibri" w:hAnsi="Calibri"/>
                <w:color w:val="111827"/>
                <w:sz w:val="18"/>
              </w:rPr>
              <w:t>MEP/FP drawings</w:t>
            </w:r>
          </w:p>
        </w:tc>
        <w:tc>
          <w:tcPr>
            <w:tcW w:type="dxa" w:w="3450"/>
            <w:tcMar>
              <w:top w:w="80" w:type="dxa"/>
              <w:start w:w="120" w:type="dxa"/>
              <w:bottom w:w="80" w:type="dxa"/>
              <w:end w:w="120" w:type="dxa"/>
            </w:tcMar>
            <w:vAlign w:val="center"/>
          </w:tcPr>
          <w:p>
            <w:pPr>
              <w:spacing w:before="0" w:after="40" w:line="259" w:lineRule="auto"/>
            </w:pPr>
            <w:r>
              <w:rPr>
                <w:rFonts w:ascii="Calibri" w:hAnsi="Calibri"/>
                <w:color w:val="111827"/>
                <w:sz w:val="18"/>
              </w:rPr>
              <w:t>Mechanical, electrical, plumbing and fire-protection systems</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Ductwork, power, piping and sprinkler layouts</w:t>
            </w:r>
          </w:p>
        </w:tc>
      </w:tr>
      <w:tr>
        <w:trPr>
          <w:cantSplit/>
        </w:trPr>
        <w:tc>
          <w:tcPr>
            <w:tcW w:type="dxa" w:w="1950"/>
            <w:tcMar>
              <w:top w:w="80" w:type="dxa"/>
              <w:start w:w="120" w:type="dxa"/>
              <w:bottom w:w="80" w:type="dxa"/>
              <w:end w:w="120" w:type="dxa"/>
            </w:tcMar>
            <w:vAlign w:val="center"/>
          </w:tcPr>
          <w:p>
            <w:pPr>
              <w:spacing w:before="0" w:after="40" w:line="259" w:lineRule="auto"/>
            </w:pPr>
            <w:r>
              <w:rPr>
                <w:rFonts w:ascii="Calibri" w:hAnsi="Calibri"/>
                <w:color w:val="111827"/>
                <w:sz w:val="18"/>
              </w:rPr>
              <w:t>Specifications / project manual</w:t>
            </w:r>
          </w:p>
        </w:tc>
        <w:tc>
          <w:tcPr>
            <w:tcW w:type="dxa" w:w="3450"/>
            <w:tcMar>
              <w:top w:w="80" w:type="dxa"/>
              <w:start w:w="120" w:type="dxa"/>
              <w:bottom w:w="80" w:type="dxa"/>
              <w:end w:w="120" w:type="dxa"/>
            </w:tcMar>
            <w:vAlign w:val="center"/>
          </w:tcPr>
          <w:p>
            <w:pPr>
              <w:spacing w:before="0" w:after="40" w:line="259" w:lineRule="auto"/>
            </w:pPr>
            <w:r>
              <w:rPr>
                <w:rFonts w:ascii="Calibri" w:hAnsi="Calibri"/>
                <w:color w:val="111827"/>
                <w:sz w:val="18"/>
              </w:rPr>
              <w:t>Products, standards, execution, submittals, warranties</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Required manufacturer or concrete performance</w:t>
            </w:r>
          </w:p>
        </w:tc>
      </w:tr>
      <w:tr>
        <w:trPr>
          <w:cantSplit/>
        </w:trPr>
        <w:tc>
          <w:tcPr>
            <w:tcW w:type="dxa" w:w="1950"/>
            <w:tcMar>
              <w:top w:w="80" w:type="dxa"/>
              <w:start w:w="120" w:type="dxa"/>
              <w:bottom w:w="80" w:type="dxa"/>
              <w:end w:w="120" w:type="dxa"/>
            </w:tcMar>
            <w:vAlign w:val="center"/>
          </w:tcPr>
          <w:p>
            <w:pPr>
              <w:spacing w:before="0" w:after="40" w:line="259" w:lineRule="auto"/>
            </w:pPr>
            <w:r>
              <w:rPr>
                <w:rFonts w:ascii="Calibri" w:hAnsi="Calibri"/>
                <w:color w:val="111827"/>
                <w:sz w:val="18"/>
              </w:rPr>
              <w:t>Addenda and RFIs</w:t>
            </w:r>
          </w:p>
        </w:tc>
        <w:tc>
          <w:tcPr>
            <w:tcW w:type="dxa" w:w="3450"/>
            <w:tcMar>
              <w:top w:w="80" w:type="dxa"/>
              <w:start w:w="120" w:type="dxa"/>
              <w:bottom w:w="80" w:type="dxa"/>
              <w:end w:w="120" w:type="dxa"/>
            </w:tcMar>
            <w:vAlign w:val="center"/>
          </w:tcPr>
          <w:p>
            <w:pPr>
              <w:spacing w:before="0" w:after="40" w:line="259" w:lineRule="auto"/>
            </w:pPr>
            <w:r>
              <w:rPr>
                <w:rFonts w:ascii="Calibri" w:hAnsi="Calibri"/>
                <w:color w:val="111827"/>
                <w:sz w:val="18"/>
              </w:rPr>
              <w:t>Later clarifications or corrections</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Architect confirms which of two conflicting details governs</w:t>
            </w:r>
          </w:p>
        </w:tc>
      </w:tr>
    </w:tbl>
    <w:p>
      <w:pPr>
        <w:spacing w:after="40"/>
      </w:pPr>
    </w:p>
    <w:p>
      <w:pPr>
        <w:pStyle w:val="Heading2"/>
      </w:pPr>
      <w:r>
        <w:t>Trade and CSI division</w:t>
      </w:r>
    </w:p>
    <w:p>
      <w:r>
        <w:rPr>
          <w:rFonts w:ascii="Calibri" w:hAnsi="Calibri"/>
          <w:color w:val="111827"/>
        </w:rPr>
        <w:t>A trade is a package of work purchased from a specialist subcontractor. CSI numbers are standardized categories used to organize construction information. For example, the workbook uses 02 for demolition, 03 for concrete, 09 for finishes such as drywall and painting, 22 for plumbing, 23 for HVAC, and 26 for electrical.</w:t>
      </w:r>
    </w:p>
    <w:tbl>
      <w:tblPr>
        <w:tblW w:type="dxa" w:w="9360"/>
        <w:jc w:val="left"/>
        <w:tblLayout w:type="fixed"/>
        <w:tblLook w:firstColumn="1" w:firstRow="1" w:lastColumn="0" w:lastRow="0" w:noHBand="0" w:noVBand="1" w:val="04A0"/>
        <w:tblInd w:w="120" w:type="dxa"/>
        <w:tblBorders>
          <w:top w:val="single" w:sz="10" w:space="0" w:color="F26B2B"/>
          <w:left w:val="single" w:sz="10" w:space="0" w:color="F26B2B"/>
          <w:bottom w:val="single" w:sz="10" w:space="0" w:color="F26B2B"/>
          <w:right w:val="single" w:sz="10" w:space="0" w:color="F26B2B"/>
          <w:insideH w:val="single" w:sz="10" w:space="0" w:color="F26B2B"/>
          <w:insideV w:val="single" w:sz="10" w:space="0" w:color="F26B2B"/>
        </w:tblBorders>
      </w:tblPr>
      <w:tblGrid>
        <w:gridCol w:w="9360"/>
      </w:tblGrid>
      <w:tr>
        <w:tc>
          <w:tcPr>
            <w:tcW w:type="dxa" w:w="9360"/>
            <w:shd w:fill="F4F6F9"/>
            <w:tcMar>
              <w:top w:w="80" w:type="dxa"/>
              <w:start w:w="120" w:type="dxa"/>
              <w:bottom w:w="80" w:type="dxa"/>
              <w:end w:w="120" w:type="dxa"/>
            </w:tcMar>
          </w:tcPr>
          <w:p>
            <w:pPr>
              <w:spacing w:after="0"/>
            </w:pPr>
            <w:r/>
            <w:r>
              <w:rPr>
                <w:rFonts w:ascii="Calibri" w:hAnsi="Calibri"/>
                <w:b/>
                <w:color w:val="F26B2B"/>
                <w:sz w:val="21"/>
              </w:rPr>
              <w:t xml:space="preserve">IMPORTANT  </w:t>
            </w:r>
            <w:r>
              <w:rPr>
                <w:rFonts w:ascii="Calibri" w:hAnsi="Calibri"/>
                <w:color w:val="111827"/>
                <w:sz w:val="21"/>
              </w:rPr>
              <w:t>The CSI number helps organize information, but it does not automatically decide contractual responsibility. Scope crossover still requires human review.</w:t>
            </w:r>
          </w:p>
        </w:tc>
      </w:tr>
    </w:tbl>
    <w:p>
      <w:pPr>
        <w:spacing w:after="20"/>
      </w:pPr>
    </w:p>
    <w:p>
      <w:pPr>
        <w:pStyle w:val="Heading2"/>
      </w:pPr>
      <w:r>
        <w:t>Key terms before looking at Excel</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400"/>
        <w:gridCol w:w="6960"/>
      </w:tblGrid>
      <w:tr>
        <w:trPr>
          <w:tblHeader w:val="true"/>
          <w:cantSplit/>
        </w:trPr>
        <w:tc>
          <w:tcPr>
            <w:tcW w:type="dxa" w:w="24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Term</w:t>
            </w:r>
          </w:p>
        </w:tc>
        <w:tc>
          <w:tcPr>
            <w:tcW w:type="dxa" w:w="69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Meaning</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Scope of work</w:t>
            </w:r>
          </w:p>
        </w:tc>
        <w:tc>
          <w:tcPr>
            <w:tcW w:type="dxa" w:w="6960"/>
            <w:tcMar>
              <w:top w:w="80" w:type="dxa"/>
              <w:start w:w="120" w:type="dxa"/>
              <w:bottom w:w="80" w:type="dxa"/>
              <w:end w:w="120" w:type="dxa"/>
            </w:tcMar>
            <w:vAlign w:val="center"/>
          </w:tcPr>
          <w:p>
            <w:pPr>
              <w:spacing w:before="0" w:after="40" w:line="259" w:lineRule="auto"/>
            </w:pPr>
            <w:r>
              <w:rPr>
                <w:rFonts w:ascii="Calibri" w:hAnsi="Calibri"/>
                <w:color w:val="111827"/>
                <w:sz w:val="18"/>
              </w:rPr>
              <w:t>The checklist or contract description of everything a trade must provide.</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Proposal / bid</w:t>
            </w:r>
          </w:p>
        </w:tc>
        <w:tc>
          <w:tcPr>
            <w:tcW w:type="dxa" w:w="6960"/>
            <w:tcMar>
              <w:top w:w="80" w:type="dxa"/>
              <w:start w:w="120" w:type="dxa"/>
              <w:bottom w:w="80" w:type="dxa"/>
              <w:end w:w="120" w:type="dxa"/>
            </w:tcMar>
            <w:vAlign w:val="center"/>
          </w:tcPr>
          <w:p>
            <w:pPr>
              <w:spacing w:before="0" w:after="40" w:line="259" w:lineRule="auto"/>
            </w:pPr>
            <w:r>
              <w:rPr>
                <w:rFonts w:ascii="Calibri" w:hAnsi="Calibri"/>
                <w:color w:val="111827"/>
                <w:sz w:val="18"/>
              </w:rPr>
              <w:t>The subcontractor's submitted price and commercial qualifications.</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Takeoff</w:t>
            </w:r>
          </w:p>
        </w:tc>
        <w:tc>
          <w:tcPr>
            <w:tcW w:type="dxa" w:w="6960"/>
            <w:tcMar>
              <w:top w:w="80" w:type="dxa"/>
              <w:start w:w="120" w:type="dxa"/>
              <w:bottom w:w="80" w:type="dxa"/>
              <w:end w:w="120" w:type="dxa"/>
            </w:tcMar>
            <w:vAlign w:val="center"/>
          </w:tcPr>
          <w:p>
            <w:pPr>
              <w:spacing w:before="0" w:after="40" w:line="259" w:lineRule="auto"/>
            </w:pPr>
            <w:r>
              <w:rPr>
                <w:rFonts w:ascii="Calibri" w:hAnsi="Calibri"/>
                <w:color w:val="111827"/>
                <w:sz w:val="18"/>
              </w:rPr>
              <w:t>A measured quantity from scaled drawings, such as 4,200 square feet of gym flooring.</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RFI</w:t>
            </w:r>
          </w:p>
        </w:tc>
        <w:tc>
          <w:tcPr>
            <w:tcW w:type="dxa" w:w="6960"/>
            <w:tcMar>
              <w:top w:w="80" w:type="dxa"/>
              <w:start w:w="120" w:type="dxa"/>
              <w:bottom w:w="80" w:type="dxa"/>
              <w:end w:w="120" w:type="dxa"/>
            </w:tcMar>
            <w:vAlign w:val="center"/>
          </w:tcPr>
          <w:p>
            <w:pPr>
              <w:spacing w:before="0" w:after="40" w:line="259" w:lineRule="auto"/>
            </w:pPr>
            <w:r>
              <w:rPr>
                <w:rFonts w:ascii="Calibri" w:hAnsi="Calibri"/>
                <w:color w:val="111827"/>
                <w:sz w:val="18"/>
              </w:rPr>
              <w:t>Request for Information: a formal question raised because information is missing, unclear, or conflicting.</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Alternate</w:t>
            </w:r>
          </w:p>
        </w:tc>
        <w:tc>
          <w:tcPr>
            <w:tcW w:type="dxa" w:w="6960"/>
            <w:tcMar>
              <w:top w:w="80" w:type="dxa"/>
              <w:start w:w="120" w:type="dxa"/>
              <w:bottom w:w="80" w:type="dxa"/>
              <w:end w:w="120" w:type="dxa"/>
            </w:tcMar>
            <w:vAlign w:val="center"/>
          </w:tcPr>
          <w:p>
            <w:pPr>
              <w:spacing w:before="0" w:after="40" w:line="259" w:lineRule="auto"/>
            </w:pPr>
            <w:r>
              <w:rPr>
                <w:rFonts w:ascii="Calibri" w:hAnsi="Calibri"/>
                <w:color w:val="111827"/>
                <w:sz w:val="18"/>
              </w:rPr>
              <w:t>An optional add or deduct price for a defined design choice.</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Allowance</w:t>
            </w:r>
          </w:p>
        </w:tc>
        <w:tc>
          <w:tcPr>
            <w:tcW w:type="dxa" w:w="6960"/>
            <w:tcMar>
              <w:top w:w="80" w:type="dxa"/>
              <w:start w:w="120" w:type="dxa"/>
              <w:bottom w:w="80" w:type="dxa"/>
              <w:end w:w="120" w:type="dxa"/>
            </w:tcMar>
            <w:vAlign w:val="center"/>
          </w:tcPr>
          <w:p>
            <w:pPr>
              <w:spacing w:before="0" w:after="40" w:line="259" w:lineRule="auto"/>
            </w:pPr>
            <w:r>
              <w:rPr>
                <w:rFonts w:ascii="Calibri" w:hAnsi="Calibri"/>
                <w:color w:val="111827"/>
                <w:sz w:val="18"/>
              </w:rPr>
              <w:t>A placeholder amount for work whose final details or quantity are not yet known.</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Value engineering (VE)</w:t>
            </w:r>
          </w:p>
        </w:tc>
        <w:tc>
          <w:tcPr>
            <w:tcW w:type="dxa" w:w="6960"/>
            <w:tcMar>
              <w:top w:w="80" w:type="dxa"/>
              <w:start w:w="120" w:type="dxa"/>
              <w:bottom w:w="80" w:type="dxa"/>
              <w:end w:w="120" w:type="dxa"/>
            </w:tcMar>
            <w:vAlign w:val="center"/>
          </w:tcPr>
          <w:p>
            <w:pPr>
              <w:spacing w:before="0" w:after="40" w:line="259" w:lineRule="auto"/>
            </w:pPr>
            <w:r>
              <w:rPr>
                <w:rFonts w:ascii="Calibri" w:hAnsi="Calibri"/>
                <w:color w:val="111827"/>
                <w:sz w:val="18"/>
              </w:rPr>
              <w:t>A proposal to reduce cost or improve value through an alternative material or method.</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Exhibit A</w:t>
            </w:r>
          </w:p>
        </w:tc>
        <w:tc>
          <w:tcPr>
            <w:tcW w:type="dxa" w:w="6960"/>
            <w:tcMar>
              <w:top w:w="80" w:type="dxa"/>
              <w:start w:w="120" w:type="dxa"/>
              <w:bottom w:w="80" w:type="dxa"/>
              <w:end w:w="120" w:type="dxa"/>
            </w:tcMar>
            <w:vAlign w:val="center"/>
          </w:tcPr>
          <w:p>
            <w:pPr>
              <w:spacing w:before="0" w:after="40" w:line="259" w:lineRule="auto"/>
            </w:pPr>
            <w:r>
              <w:rPr>
                <w:rFonts w:ascii="Calibri" w:hAnsi="Calibri"/>
                <w:color w:val="111827"/>
                <w:sz w:val="18"/>
              </w:rPr>
              <w:t>The trade-specific scope attached to the subcontract and made contractually binding.</w:t>
            </w:r>
          </w:p>
        </w:tc>
      </w:tr>
    </w:tbl>
    <w:p>
      <w:pPr>
        <w:spacing w:after="40"/>
      </w:pPr>
    </w:p>
    <w:p>
      <w:r>
        <w:br w:type="page"/>
      </w:r>
    </w:p>
    <w:p>
      <w:pPr>
        <w:pStyle w:val="Heading1"/>
      </w:pPr>
      <w:r>
        <w:t>4. What every workbook sheet means</w:t>
      </w:r>
    </w:p>
    <w:p>
      <w:r>
        <w:rPr>
          <w:rFonts w:ascii="Calibri" w:hAnsi="Calibri"/>
          <w:color w:val="111827"/>
        </w:rPr>
        <w:t>The Jelleff workbook is best understood as a small database disguised as Excel. Project records, trade records, scope items, bidders, responses, budgets, and decisions are stored in cells and linked by formulas.</w:t>
      </w:r>
    </w:p>
    <w:p>
      <w:pPr>
        <w:pStyle w:val="Heading2"/>
      </w:pPr>
      <w:r>
        <w:t>The workbook has four kinds of sheets</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050"/>
        <w:gridCol w:w="3100"/>
        <w:gridCol w:w="4210"/>
      </w:tblGrid>
      <w:tr>
        <w:trPr>
          <w:tblHeader w:val="true"/>
          <w:cantSplit/>
        </w:trPr>
        <w:tc>
          <w:tcPr>
            <w:tcW w:type="dxa" w:w="2050"/>
            <w:tcMar>
              <w:top w:w="80" w:type="dxa"/>
              <w:start w:w="120" w:type="dxa"/>
              <w:bottom w:w="80" w:type="dxa"/>
              <w:end w:w="120" w:type="dxa"/>
            </w:tcMar>
            <w:vAlign w:val="center"/>
            <w:shd w:fill="E8EEF5"/>
          </w:tcPr>
          <w:p>
            <w:pPr>
              <w:keepNext/>
              <w:spacing w:before="0" w:after="60" w:line="259" w:lineRule="auto"/>
            </w:pPr>
            <w:r>
              <w:rPr>
                <w:rFonts w:ascii="Calibri" w:hAnsi="Calibri"/>
                <w:b/>
                <w:color w:val="0B2545"/>
                <w:sz w:val="18"/>
              </w:rPr>
              <w:t>Category</w:t>
            </w:r>
          </w:p>
        </w:tc>
        <w:tc>
          <w:tcPr>
            <w:tcW w:type="dxa" w:w="3100"/>
            <w:tcMar>
              <w:top w:w="80" w:type="dxa"/>
              <w:start w:w="120" w:type="dxa"/>
              <w:bottom w:w="80" w:type="dxa"/>
              <w:end w:w="120" w:type="dxa"/>
            </w:tcMar>
            <w:vAlign w:val="center"/>
            <w:shd w:fill="E8EEF5"/>
          </w:tcPr>
          <w:p>
            <w:pPr>
              <w:keepNext/>
              <w:spacing w:before="0" w:after="60" w:line="259" w:lineRule="auto"/>
            </w:pPr>
            <w:r>
              <w:rPr>
                <w:rFonts w:ascii="Calibri" w:hAnsi="Calibri"/>
                <w:b/>
                <w:color w:val="0B2545"/>
                <w:sz w:val="18"/>
              </w:rPr>
              <w:t>Sheets</w:t>
            </w:r>
          </w:p>
        </w:tc>
        <w:tc>
          <w:tcPr>
            <w:tcW w:type="dxa" w:w="4210"/>
            <w:tcMar>
              <w:top w:w="80" w:type="dxa"/>
              <w:start w:w="120" w:type="dxa"/>
              <w:bottom w:w="80" w:type="dxa"/>
              <w:end w:w="120" w:type="dxa"/>
            </w:tcMar>
            <w:vAlign w:val="center"/>
            <w:shd w:fill="E8EEF5"/>
          </w:tcPr>
          <w:p>
            <w:pPr>
              <w:keepNext/>
              <w:spacing w:before="0" w:after="60" w:line="259" w:lineRule="auto"/>
            </w:pPr>
            <w:r>
              <w:rPr>
                <w:rFonts w:ascii="Calibri" w:hAnsi="Calibri"/>
                <w:b/>
                <w:color w:val="0B2545"/>
                <w:sz w:val="18"/>
              </w:rPr>
              <w:t>Purpose</w:t>
            </w:r>
          </w:p>
        </w:tc>
      </w:tr>
      <w:tr>
        <w:trPr>
          <w:cantSplit/>
        </w:trPr>
        <w:tc>
          <w:tcPr>
            <w:tcW w:type="dxa" w:w="2050"/>
            <w:tcMar>
              <w:top w:w="80" w:type="dxa"/>
              <w:start w:w="120" w:type="dxa"/>
              <w:bottom w:w="80" w:type="dxa"/>
              <w:end w:w="120" w:type="dxa"/>
            </w:tcMar>
            <w:vAlign w:val="center"/>
          </w:tcPr>
          <w:p>
            <w:pPr>
              <w:spacing w:before="0" w:after="60" w:line="259" w:lineRule="auto"/>
            </w:pPr>
            <w:r>
              <w:rPr>
                <w:rFonts w:ascii="Calibri" w:hAnsi="Calibri"/>
                <w:color w:val="111827"/>
                <w:sz w:val="19"/>
              </w:rPr>
              <w:t>Project control</w:t>
            </w:r>
          </w:p>
        </w:tc>
        <w:tc>
          <w:tcPr>
            <w:tcW w:type="dxa" w:w="3100"/>
            <w:tcMar>
              <w:top w:w="80" w:type="dxa"/>
              <w:start w:w="120" w:type="dxa"/>
              <w:bottom w:w="80" w:type="dxa"/>
              <w:end w:w="120" w:type="dxa"/>
            </w:tcMar>
            <w:vAlign w:val="center"/>
          </w:tcPr>
          <w:p>
            <w:pPr>
              <w:spacing w:before="0" w:after="60" w:line="259" w:lineRule="auto"/>
            </w:pPr>
            <w:r>
              <w:rPr>
                <w:rFonts w:ascii="Calibri" w:hAnsi="Calibri"/>
                <w:color w:val="111827"/>
                <w:sz w:val="19"/>
              </w:rPr>
              <w:t>Bid Sheet; MCN Summary</w:t>
            </w:r>
          </w:p>
        </w:tc>
        <w:tc>
          <w:tcPr>
            <w:tcW w:type="dxa" w:w="4210"/>
            <w:tcMar>
              <w:top w:w="80" w:type="dxa"/>
              <w:start w:w="120" w:type="dxa"/>
              <w:bottom w:w="80" w:type="dxa"/>
              <w:end w:w="120" w:type="dxa"/>
            </w:tcMar>
            <w:vAlign w:val="center"/>
          </w:tcPr>
          <w:p>
            <w:pPr>
              <w:spacing w:before="0" w:after="60" w:line="259" w:lineRule="auto"/>
            </w:pPr>
            <w:r>
              <w:rPr>
                <w:rFonts w:ascii="Calibri" w:hAnsi="Calibri"/>
                <w:color w:val="111827"/>
                <w:sz w:val="19"/>
              </w:rPr>
              <w:t>Combines all trade costs into the project budget and summary.</w:t>
            </w:r>
          </w:p>
        </w:tc>
      </w:tr>
      <w:tr>
        <w:trPr>
          <w:cantSplit/>
        </w:trPr>
        <w:tc>
          <w:tcPr>
            <w:tcW w:type="dxa" w:w="2050"/>
            <w:tcMar>
              <w:top w:w="80" w:type="dxa"/>
              <w:start w:w="120" w:type="dxa"/>
              <w:bottom w:w="80" w:type="dxa"/>
              <w:end w:w="120" w:type="dxa"/>
            </w:tcMar>
            <w:vAlign w:val="center"/>
          </w:tcPr>
          <w:p>
            <w:pPr>
              <w:spacing w:before="0" w:after="60" w:line="259" w:lineRule="auto"/>
            </w:pPr>
            <w:r>
              <w:rPr>
                <w:rFonts w:ascii="Calibri" w:hAnsi="Calibri"/>
                <w:color w:val="111827"/>
                <w:sz w:val="19"/>
              </w:rPr>
              <w:t>Risk and coordination</w:t>
            </w:r>
          </w:p>
        </w:tc>
        <w:tc>
          <w:tcPr>
            <w:tcW w:type="dxa" w:w="3100"/>
            <w:tcMar>
              <w:top w:w="80" w:type="dxa"/>
              <w:start w:w="120" w:type="dxa"/>
              <w:bottom w:w="80" w:type="dxa"/>
              <w:end w:w="120" w:type="dxa"/>
            </w:tcMar>
            <w:vAlign w:val="center"/>
          </w:tcPr>
          <w:p>
            <w:pPr>
              <w:spacing w:before="0" w:after="60" w:line="259" w:lineRule="auto"/>
            </w:pPr>
            <w:r>
              <w:rPr>
                <w:rFonts w:ascii="Calibri" w:hAnsi="Calibri"/>
                <w:color w:val="111827"/>
                <w:sz w:val="19"/>
              </w:rPr>
              <w:t>ScopeCrossOver; RFI Log; VEs; Alternates; SpecMatrix</w:t>
            </w:r>
          </w:p>
        </w:tc>
        <w:tc>
          <w:tcPr>
            <w:tcW w:type="dxa" w:w="4210"/>
            <w:tcMar>
              <w:top w:w="80" w:type="dxa"/>
              <w:start w:w="120" w:type="dxa"/>
              <w:bottom w:w="80" w:type="dxa"/>
              <w:end w:w="120" w:type="dxa"/>
            </w:tcMar>
            <w:vAlign w:val="center"/>
          </w:tcPr>
          <w:p>
            <w:pPr>
              <w:spacing w:before="0" w:after="60" w:line="259" w:lineRule="auto"/>
            </w:pPr>
            <w:r>
              <w:rPr>
                <w:rFonts w:ascii="Calibri" w:hAnsi="Calibri"/>
                <w:color w:val="111827"/>
                <w:sz w:val="19"/>
              </w:rPr>
              <w:t>Tracks gaps, questions, options, and responsibility across trades.</w:t>
            </w:r>
          </w:p>
        </w:tc>
      </w:tr>
      <w:tr>
        <w:trPr>
          <w:cantSplit/>
        </w:trPr>
        <w:tc>
          <w:tcPr>
            <w:tcW w:type="dxa" w:w="2050"/>
            <w:tcMar>
              <w:top w:w="80" w:type="dxa"/>
              <w:start w:w="120" w:type="dxa"/>
              <w:bottom w:w="80" w:type="dxa"/>
              <w:end w:w="120" w:type="dxa"/>
            </w:tcMar>
            <w:vAlign w:val="center"/>
          </w:tcPr>
          <w:p>
            <w:pPr>
              <w:spacing w:before="0" w:after="60" w:line="259" w:lineRule="auto"/>
            </w:pPr>
            <w:r>
              <w:rPr>
                <w:rFonts w:ascii="Calibri" w:hAnsi="Calibri"/>
                <w:color w:val="111827"/>
                <w:sz w:val="19"/>
              </w:rPr>
              <w:t>Reusable structure</w:t>
            </w:r>
          </w:p>
        </w:tc>
        <w:tc>
          <w:tcPr>
            <w:tcW w:type="dxa" w:w="3100"/>
            <w:tcMar>
              <w:top w:w="80" w:type="dxa"/>
              <w:start w:w="120" w:type="dxa"/>
              <w:bottom w:w="80" w:type="dxa"/>
              <w:end w:w="120" w:type="dxa"/>
            </w:tcMar>
            <w:vAlign w:val="center"/>
          </w:tcPr>
          <w:p>
            <w:pPr>
              <w:spacing w:before="0" w:after="60" w:line="259" w:lineRule="auto"/>
            </w:pPr>
            <w:r>
              <w:rPr>
                <w:rFonts w:ascii="Calibri" w:hAnsi="Calibri"/>
                <w:color w:val="111827"/>
                <w:sz w:val="19"/>
              </w:rPr>
              <w:t>SOWTemplate; Version History</w:t>
            </w:r>
          </w:p>
        </w:tc>
        <w:tc>
          <w:tcPr>
            <w:tcW w:type="dxa" w:w="4210"/>
            <w:tcMar>
              <w:top w:w="80" w:type="dxa"/>
              <w:start w:w="120" w:type="dxa"/>
              <w:bottom w:w="80" w:type="dxa"/>
              <w:end w:w="120" w:type="dxa"/>
            </w:tcMar>
            <w:vAlign w:val="center"/>
          </w:tcPr>
          <w:p>
            <w:pPr>
              <w:spacing w:before="0" w:after="60" w:line="259" w:lineRule="auto"/>
            </w:pPr>
            <w:r>
              <w:rPr>
                <w:rFonts w:ascii="Calibri" w:hAnsi="Calibri"/>
                <w:color w:val="111827"/>
                <w:sz w:val="19"/>
              </w:rPr>
              <w:t>Provides the blank trade layout and tracks revisions.</w:t>
            </w:r>
          </w:p>
        </w:tc>
      </w:tr>
      <w:tr>
        <w:trPr>
          <w:cantSplit/>
        </w:trPr>
        <w:tc>
          <w:tcPr>
            <w:tcW w:type="dxa" w:w="2050"/>
            <w:tcMar>
              <w:top w:w="80" w:type="dxa"/>
              <w:start w:w="120" w:type="dxa"/>
              <w:bottom w:w="80" w:type="dxa"/>
              <w:end w:w="120" w:type="dxa"/>
            </w:tcMar>
            <w:vAlign w:val="center"/>
          </w:tcPr>
          <w:p>
            <w:pPr>
              <w:spacing w:before="0" w:after="60" w:line="259" w:lineRule="auto"/>
            </w:pPr>
            <w:r>
              <w:rPr>
                <w:rFonts w:ascii="Calibri" w:hAnsi="Calibri"/>
                <w:color w:val="111827"/>
                <w:sz w:val="19"/>
              </w:rPr>
              <w:t>Trade worksheets</w:t>
            </w:r>
          </w:p>
        </w:tc>
        <w:tc>
          <w:tcPr>
            <w:tcW w:type="dxa" w:w="3100"/>
            <w:tcMar>
              <w:top w:w="80" w:type="dxa"/>
              <w:start w:w="120" w:type="dxa"/>
              <w:bottom w:w="80" w:type="dxa"/>
              <w:end w:w="120" w:type="dxa"/>
            </w:tcMar>
            <w:vAlign w:val="center"/>
          </w:tcPr>
          <w:p>
            <w:pPr>
              <w:spacing w:before="0" w:after="60" w:line="259" w:lineRule="auto"/>
            </w:pPr>
            <w:r>
              <w:rPr>
                <w:rFonts w:ascii="Calibri" w:hAnsi="Calibri"/>
                <w:color w:val="111827"/>
                <w:sz w:val="19"/>
              </w:rPr>
              <w:t>Demo, Conc, GWB, HVAC, Elect, Plumb, and dozens more</w:t>
            </w:r>
          </w:p>
        </w:tc>
        <w:tc>
          <w:tcPr>
            <w:tcW w:type="dxa" w:w="4210"/>
            <w:tcMar>
              <w:top w:w="80" w:type="dxa"/>
              <w:start w:w="120" w:type="dxa"/>
              <w:bottom w:w="80" w:type="dxa"/>
              <w:end w:w="120" w:type="dxa"/>
            </w:tcMar>
            <w:vAlign w:val="center"/>
          </w:tcPr>
          <w:p>
            <w:pPr>
              <w:spacing w:before="0" w:after="60" w:line="259" w:lineRule="auto"/>
            </w:pPr>
            <w:r>
              <w:rPr>
                <w:rFonts w:ascii="Calibri" w:hAnsi="Calibri"/>
                <w:color w:val="111827"/>
                <w:sz w:val="19"/>
              </w:rPr>
              <w:t>Compares subcontractors for one trade at a time.</w:t>
            </w:r>
          </w:p>
        </w:tc>
      </w:tr>
    </w:tbl>
    <w:p>
      <w:pPr>
        <w:spacing w:after="40"/>
      </w:pPr>
    </w:p>
    <w:p>
      <w:pPr>
        <w:pStyle w:val="Heading2"/>
      </w:pPr>
      <w:r>
        <w:t>The important utility sheets</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800"/>
        <w:gridCol w:w="6000"/>
        <w:gridCol w:w="1560"/>
      </w:tblGrid>
      <w:tr>
        <w:trPr>
          <w:tblHeader w:val="true"/>
          <w:cantSplit/>
        </w:trPr>
        <w:tc>
          <w:tcPr>
            <w:tcW w:type="dxa" w:w="18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Sheet</w:t>
            </w:r>
          </w:p>
        </w:tc>
        <w:tc>
          <w:tcPr>
            <w:tcW w:type="dxa" w:w="60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Plain-English meaning</w:t>
            </w:r>
          </w:p>
        </w:tc>
        <w:tc>
          <w:tcPr>
            <w:tcW w:type="dxa" w:w="15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Data type</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111827"/>
                <w:sz w:val="18"/>
              </w:rPr>
              <w:t>Bid Sheet</w:t>
            </w:r>
          </w:p>
        </w:tc>
        <w:tc>
          <w:tcPr>
            <w:tcW w:type="dxa" w:w="6000"/>
            <w:tcMar>
              <w:top w:w="80" w:type="dxa"/>
              <w:start w:w="120" w:type="dxa"/>
              <w:bottom w:w="80" w:type="dxa"/>
              <w:end w:w="120" w:type="dxa"/>
            </w:tcMar>
            <w:vAlign w:val="center"/>
          </w:tcPr>
          <w:p>
            <w:pPr>
              <w:spacing w:before="0" w:after="40" w:line="259" w:lineRule="auto"/>
            </w:pPr>
            <w:r>
              <w:rPr>
                <w:rFonts w:ascii="Calibri" w:hAnsi="Calibri"/>
                <w:color w:val="111827"/>
                <w:sz w:val="18"/>
              </w:rPr>
              <w:t>Master list of trades, CSI code, assigned estimator, old/current budget, variance, cost per GSF, and bidder values.</w:t>
            </w:r>
          </w:p>
        </w:tc>
        <w:tc>
          <w:tcPr>
            <w:tcW w:type="dxa" w:w="1560"/>
            <w:tcMar>
              <w:top w:w="80" w:type="dxa"/>
              <w:start w:w="120" w:type="dxa"/>
              <w:bottom w:w="80" w:type="dxa"/>
              <w:end w:w="120" w:type="dxa"/>
            </w:tcMar>
            <w:vAlign w:val="center"/>
          </w:tcPr>
          <w:p>
            <w:pPr>
              <w:spacing w:before="0" w:after="40" w:line="259" w:lineRule="auto"/>
            </w:pPr>
            <w:r>
              <w:rPr>
                <w:rFonts w:ascii="Calibri" w:hAnsi="Calibri"/>
                <w:color w:val="111827"/>
                <w:sz w:val="18"/>
              </w:rPr>
              <w:t>Output / control</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111827"/>
                <w:sz w:val="18"/>
              </w:rPr>
              <w:t>MCN Summary</w:t>
            </w:r>
          </w:p>
        </w:tc>
        <w:tc>
          <w:tcPr>
            <w:tcW w:type="dxa" w:w="6000"/>
            <w:tcMar>
              <w:top w:w="80" w:type="dxa"/>
              <w:start w:w="120" w:type="dxa"/>
              <w:bottom w:w="80" w:type="dxa"/>
              <w:end w:w="120" w:type="dxa"/>
            </w:tcMar>
            <w:vAlign w:val="center"/>
          </w:tcPr>
          <w:p>
            <w:pPr>
              <w:spacing w:before="0" w:after="40" w:line="259" w:lineRule="auto"/>
            </w:pPr>
            <w:r>
              <w:rPr>
                <w:rFonts w:ascii="Calibri" w:hAnsi="Calibri"/>
                <w:color w:val="111827"/>
                <w:sz w:val="18"/>
              </w:rPr>
              <w:t>Rolls Bid Sheet values into standard CSI cost categories, total trades cost, construction cost, and cost per square foot.</w:t>
            </w:r>
          </w:p>
        </w:tc>
        <w:tc>
          <w:tcPr>
            <w:tcW w:type="dxa" w:w="1560"/>
            <w:tcMar>
              <w:top w:w="80" w:type="dxa"/>
              <w:start w:w="120" w:type="dxa"/>
              <w:bottom w:w="80" w:type="dxa"/>
              <w:end w:w="120" w:type="dxa"/>
            </w:tcMar>
            <w:vAlign w:val="center"/>
          </w:tcPr>
          <w:p>
            <w:pPr>
              <w:spacing w:before="0" w:after="40" w:line="259" w:lineRule="auto"/>
            </w:pPr>
            <w:r>
              <w:rPr>
                <w:rFonts w:ascii="Calibri" w:hAnsi="Calibri"/>
                <w:color w:val="111827"/>
                <w:sz w:val="18"/>
              </w:rPr>
              <w:t>Calculated summary</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111827"/>
                <w:sz w:val="18"/>
              </w:rPr>
              <w:t>GCs n GRs</w:t>
            </w:r>
          </w:p>
        </w:tc>
        <w:tc>
          <w:tcPr>
            <w:tcW w:type="dxa" w:w="6000"/>
            <w:tcMar>
              <w:top w:w="80" w:type="dxa"/>
              <w:start w:w="120" w:type="dxa"/>
              <w:bottom w:w="80" w:type="dxa"/>
              <w:end w:w="120" w:type="dxa"/>
            </w:tcMar>
            <w:vAlign w:val="center"/>
          </w:tcPr>
          <w:p>
            <w:pPr>
              <w:spacing w:before="0" w:after="40" w:line="259" w:lineRule="auto"/>
            </w:pPr>
            <w:r>
              <w:rPr>
                <w:rFonts w:ascii="Calibri" w:hAnsi="Calibri"/>
                <w:color w:val="111827"/>
                <w:sz w:val="18"/>
              </w:rPr>
              <w:t>General Conditions and General Requirements: project staff, supervision, temporary facilities, safety, administration, and similar GC costs.</w:t>
            </w:r>
          </w:p>
        </w:tc>
        <w:tc>
          <w:tcPr>
            <w:tcW w:type="dxa" w:w="1560"/>
            <w:tcMar>
              <w:top w:w="80" w:type="dxa"/>
              <w:start w:w="120" w:type="dxa"/>
              <w:bottom w:w="80" w:type="dxa"/>
              <w:end w:w="120" w:type="dxa"/>
            </w:tcMar>
            <w:vAlign w:val="center"/>
          </w:tcPr>
          <w:p>
            <w:pPr>
              <w:spacing w:before="0" w:after="40" w:line="259" w:lineRule="auto"/>
            </w:pPr>
            <w:r>
              <w:rPr>
                <w:rFonts w:ascii="Calibri" w:hAnsi="Calibri"/>
                <w:color w:val="111827"/>
                <w:sz w:val="18"/>
              </w:rPr>
              <w:t>Inputs + formulas</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111827"/>
                <w:sz w:val="18"/>
              </w:rPr>
              <w:t>SOWTemplate</w:t>
            </w:r>
          </w:p>
        </w:tc>
        <w:tc>
          <w:tcPr>
            <w:tcW w:type="dxa" w:w="6000"/>
            <w:tcMar>
              <w:top w:w="80" w:type="dxa"/>
              <w:start w:w="120" w:type="dxa"/>
              <w:bottom w:w="80" w:type="dxa"/>
              <w:end w:w="120" w:type="dxa"/>
            </w:tcMar>
            <w:vAlign w:val="center"/>
          </w:tcPr>
          <w:p>
            <w:pPr>
              <w:spacing w:before="0" w:after="40" w:line="259" w:lineRule="auto"/>
            </w:pPr>
            <w:r>
              <w:rPr>
                <w:rFonts w:ascii="Calibri" w:hAnsi="Calibri"/>
                <w:color w:val="111827"/>
                <w:sz w:val="18"/>
              </w:rPr>
              <w:t>Blank model for one trade: scope rows, internal budget, seven bidder groups, bond, totals, level state, and rank.</w:t>
            </w:r>
          </w:p>
        </w:tc>
        <w:tc>
          <w:tcPr>
            <w:tcW w:type="dxa" w:w="1560"/>
            <w:tcMar>
              <w:top w:w="80" w:type="dxa"/>
              <w:start w:w="120" w:type="dxa"/>
              <w:bottom w:w="80" w:type="dxa"/>
              <w:end w:w="120" w:type="dxa"/>
            </w:tcMar>
            <w:vAlign w:val="center"/>
          </w:tcPr>
          <w:p>
            <w:pPr>
              <w:spacing w:before="0" w:after="40" w:line="259" w:lineRule="auto"/>
            </w:pPr>
            <w:r>
              <w:rPr>
                <w:rFonts w:ascii="Calibri" w:hAnsi="Calibri"/>
                <w:color w:val="111827"/>
                <w:sz w:val="18"/>
              </w:rPr>
              <w:t>Reusable template</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111827"/>
                <w:sz w:val="18"/>
              </w:rPr>
              <w:t>ScopeCrossOver</w:t>
            </w:r>
          </w:p>
        </w:tc>
        <w:tc>
          <w:tcPr>
            <w:tcW w:type="dxa" w:w="6000"/>
            <w:tcMar>
              <w:top w:w="80" w:type="dxa"/>
              <w:start w:w="120" w:type="dxa"/>
              <w:bottom w:w="80" w:type="dxa"/>
              <w:end w:w="120" w:type="dxa"/>
            </w:tcMar>
            <w:vAlign w:val="center"/>
          </w:tcPr>
          <w:p>
            <w:pPr>
              <w:spacing w:before="0" w:after="40" w:line="259" w:lineRule="auto"/>
            </w:pPr>
            <w:r>
              <w:rPr>
                <w:rFonts w:ascii="Calibri" w:hAnsi="Calibri"/>
                <w:color w:val="111827"/>
                <w:sz w:val="18"/>
              </w:rPr>
              <w:t>Records work that could be missed or counted twice because several trades could reasonably own it.</w:t>
            </w:r>
          </w:p>
        </w:tc>
        <w:tc>
          <w:tcPr>
            <w:tcW w:type="dxa" w:w="1560"/>
            <w:tcMar>
              <w:top w:w="80" w:type="dxa"/>
              <w:start w:w="120" w:type="dxa"/>
              <w:bottom w:w="80" w:type="dxa"/>
              <w:end w:w="120" w:type="dxa"/>
            </w:tcMar>
            <w:vAlign w:val="center"/>
          </w:tcPr>
          <w:p>
            <w:pPr>
              <w:spacing w:before="0" w:after="40" w:line="259" w:lineRule="auto"/>
            </w:pPr>
            <w:r>
              <w:rPr>
                <w:rFonts w:ascii="Calibri" w:hAnsi="Calibri"/>
                <w:color w:val="111827"/>
                <w:sz w:val="18"/>
              </w:rPr>
              <w:t>Human coordination</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111827"/>
                <w:sz w:val="18"/>
              </w:rPr>
              <w:t>RFI Log</w:t>
            </w:r>
          </w:p>
        </w:tc>
        <w:tc>
          <w:tcPr>
            <w:tcW w:type="dxa" w:w="6000"/>
            <w:tcMar>
              <w:top w:w="80" w:type="dxa"/>
              <w:start w:w="120" w:type="dxa"/>
              <w:bottom w:w="80" w:type="dxa"/>
              <w:end w:w="120" w:type="dxa"/>
            </w:tcMar>
            <w:vAlign w:val="center"/>
          </w:tcPr>
          <w:p>
            <w:pPr>
              <w:spacing w:before="0" w:after="40" w:line="259" w:lineRule="auto"/>
            </w:pPr>
            <w:r>
              <w:rPr>
                <w:rFonts w:ascii="Calibri" w:hAnsi="Calibri"/>
                <w:color w:val="111827"/>
                <w:sz w:val="18"/>
              </w:rPr>
              <w:t>Stores question number, discipline, question, submission information, design response, and response date.</w:t>
            </w:r>
          </w:p>
        </w:tc>
        <w:tc>
          <w:tcPr>
            <w:tcW w:type="dxa" w:w="1560"/>
            <w:tcMar>
              <w:top w:w="80" w:type="dxa"/>
              <w:start w:w="120" w:type="dxa"/>
              <w:bottom w:w="80" w:type="dxa"/>
              <w:end w:w="120" w:type="dxa"/>
            </w:tcMar>
            <w:vAlign w:val="center"/>
          </w:tcPr>
          <w:p>
            <w:pPr>
              <w:spacing w:before="0" w:after="40" w:line="259" w:lineRule="auto"/>
            </w:pPr>
            <w:r>
              <w:rPr>
                <w:rFonts w:ascii="Calibri" w:hAnsi="Calibri"/>
                <w:color w:val="111827"/>
                <w:sz w:val="18"/>
              </w:rPr>
              <w:t>Human workflow</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111827"/>
                <w:sz w:val="18"/>
              </w:rPr>
              <w:t>VEs</w:t>
            </w:r>
          </w:p>
        </w:tc>
        <w:tc>
          <w:tcPr>
            <w:tcW w:type="dxa" w:w="6000"/>
            <w:tcMar>
              <w:top w:w="80" w:type="dxa"/>
              <w:start w:w="120" w:type="dxa"/>
              <w:bottom w:w="80" w:type="dxa"/>
              <w:end w:w="120" w:type="dxa"/>
            </w:tcMar>
            <w:vAlign w:val="center"/>
          </w:tcPr>
          <w:p>
            <w:pPr>
              <w:spacing w:before="0" w:after="40" w:line="259" w:lineRule="auto"/>
            </w:pPr>
            <w:r>
              <w:rPr>
                <w:rFonts w:ascii="Calibri" w:hAnsi="Calibri"/>
                <w:color w:val="111827"/>
                <w:sz w:val="18"/>
              </w:rPr>
              <w:t>Logs value-engineering ideas and cost impact.</w:t>
            </w:r>
          </w:p>
        </w:tc>
        <w:tc>
          <w:tcPr>
            <w:tcW w:type="dxa" w:w="1560"/>
            <w:tcMar>
              <w:top w:w="80" w:type="dxa"/>
              <w:start w:w="120" w:type="dxa"/>
              <w:bottom w:w="80" w:type="dxa"/>
              <w:end w:w="120" w:type="dxa"/>
            </w:tcMar>
            <w:vAlign w:val="center"/>
          </w:tcPr>
          <w:p>
            <w:pPr>
              <w:spacing w:before="0" w:after="40" w:line="259" w:lineRule="auto"/>
            </w:pPr>
            <w:r>
              <w:rPr>
                <w:rFonts w:ascii="Calibri" w:hAnsi="Calibri"/>
                <w:color w:val="111827"/>
                <w:sz w:val="18"/>
              </w:rPr>
              <w:t>Human input</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111827"/>
                <w:sz w:val="18"/>
              </w:rPr>
              <w:t>Alternates</w:t>
            </w:r>
          </w:p>
        </w:tc>
        <w:tc>
          <w:tcPr>
            <w:tcW w:type="dxa" w:w="6000"/>
            <w:tcMar>
              <w:top w:w="80" w:type="dxa"/>
              <w:start w:w="120" w:type="dxa"/>
              <w:bottom w:w="80" w:type="dxa"/>
              <w:end w:w="120" w:type="dxa"/>
            </w:tcMar>
            <w:vAlign w:val="center"/>
          </w:tcPr>
          <w:p>
            <w:pPr>
              <w:spacing w:before="0" w:after="40" w:line="259" w:lineRule="auto"/>
            </w:pPr>
            <w:r>
              <w:rPr>
                <w:rFonts w:ascii="Calibri" w:hAnsi="Calibri"/>
                <w:color w:val="111827"/>
                <w:sz w:val="18"/>
              </w:rPr>
              <w:t>Collects optional add/deduct prices by trade.</w:t>
            </w:r>
          </w:p>
        </w:tc>
        <w:tc>
          <w:tcPr>
            <w:tcW w:type="dxa" w:w="1560"/>
            <w:tcMar>
              <w:top w:w="80" w:type="dxa"/>
              <w:start w:w="120" w:type="dxa"/>
              <w:bottom w:w="80" w:type="dxa"/>
              <w:end w:w="120" w:type="dxa"/>
            </w:tcMar>
            <w:vAlign w:val="center"/>
          </w:tcPr>
          <w:p>
            <w:pPr>
              <w:spacing w:before="0" w:after="40" w:line="259" w:lineRule="auto"/>
            </w:pPr>
            <w:r>
              <w:rPr>
                <w:rFonts w:ascii="Calibri" w:hAnsi="Calibri"/>
                <w:color w:val="111827"/>
                <w:sz w:val="18"/>
              </w:rPr>
              <w:t>Input + summary</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111827"/>
                <w:sz w:val="18"/>
              </w:rPr>
              <w:t>SpecMatrix</w:t>
            </w:r>
          </w:p>
        </w:tc>
        <w:tc>
          <w:tcPr>
            <w:tcW w:type="dxa" w:w="6000"/>
            <w:tcMar>
              <w:top w:w="80" w:type="dxa"/>
              <w:start w:w="120" w:type="dxa"/>
              <w:bottom w:w="80" w:type="dxa"/>
              <w:end w:w="120" w:type="dxa"/>
            </w:tcMar>
            <w:vAlign w:val="center"/>
          </w:tcPr>
          <w:p>
            <w:pPr>
              <w:spacing w:before="0" w:after="40" w:line="259" w:lineRule="auto"/>
            </w:pPr>
            <w:r>
              <w:rPr>
                <w:rFonts w:ascii="Calibri" w:hAnsi="Calibri"/>
                <w:color w:val="111827"/>
                <w:sz w:val="18"/>
              </w:rPr>
              <w:t>Maps specification sections and bid packages to assigned estimators and coverage.</w:t>
            </w:r>
          </w:p>
        </w:tc>
        <w:tc>
          <w:tcPr>
            <w:tcW w:type="dxa" w:w="1560"/>
            <w:tcMar>
              <w:top w:w="80" w:type="dxa"/>
              <w:start w:w="120" w:type="dxa"/>
              <w:bottom w:w="80" w:type="dxa"/>
              <w:end w:w="120" w:type="dxa"/>
            </w:tcMar>
            <w:vAlign w:val="center"/>
          </w:tcPr>
          <w:p>
            <w:pPr>
              <w:spacing w:before="0" w:after="40" w:line="259" w:lineRule="auto"/>
            </w:pPr>
            <w:r>
              <w:rPr>
                <w:rFonts w:ascii="Calibri" w:hAnsi="Calibri"/>
                <w:color w:val="111827"/>
                <w:sz w:val="18"/>
              </w:rPr>
              <w:t>Assignment / QA</w:t>
            </w:r>
          </w:p>
        </w:tc>
      </w:tr>
    </w:tbl>
    <w:p>
      <w:pPr>
        <w:spacing w:after="40"/>
      </w:pPr>
    </w:p>
    <w:p>
      <w:pPr>
        <w:pStyle w:val="Heading2"/>
      </w:pPr>
      <w:r>
        <w:t>Most other tabs are trades</w:t>
      </w:r>
    </w:p>
    <w:p>
      <w:r>
        <w:rPr>
          <w:rFonts w:ascii="Calibri" w:hAnsi="Calibri"/>
          <w:color w:val="111827"/>
        </w:rPr>
        <w:t>Examples include Demo (demolition), Conc (concrete), Masonry, SS &amp; MM (structural steel and miscellaneous metals), GWB (gypsum wallboard/drywall), DFH (doors, frames and hardware), Alum (aluminum/storefront), FireP (fire protection), Plumb, HVAC, Elect, LV (low voltage), EARTH, SiteConc, WetUtil, DryUtil, Lscape, and FFE.</w:t>
      </w:r>
    </w:p>
    <w:p>
      <w:r>
        <w:br w:type="page"/>
      </w:r>
    </w:p>
    <w:p>
      <w:pPr>
        <w:pStyle w:val="Heading1"/>
      </w:pPr>
      <w:r>
        <w:t>5. A trade sheet explained cell by cell</w:t>
      </w:r>
    </w:p>
    <w:p>
      <w:pPr>
        <w:keepNext/>
        <w:spacing w:after="0"/>
        <w:jc w:val="center"/>
      </w:pPr>
      <w:r>
        <w:drawing>
          <wp:inline xmlns:a="http://schemas.openxmlformats.org/drawingml/2006/main" xmlns:pic="http://schemas.openxmlformats.org/drawingml/2006/picture">
            <wp:extent cx="5897880" cy="3440430"/>
            <wp:docPr id="2" name="Picture 2" descr="Diagram showing project metadata at the top, master scope and budget fields on the left, repeating bidder groups on the right, and formula outputs at the bottom."/>
            <wp:cNvGraphicFramePr>
              <a:graphicFrameLocks noChangeAspect="1"/>
            </wp:cNvGraphicFramePr>
            <a:graphic>
              <a:graphicData uri="http://schemas.openxmlformats.org/drawingml/2006/picture">
                <pic:pic>
                  <pic:nvPicPr>
                    <pic:cNvPr id="0" name="trade_sheet_anatomy.png"/>
                    <pic:cNvPicPr/>
                  </pic:nvPicPr>
                  <pic:blipFill>
                    <a:blip r:embed="rId12"/>
                    <a:stretch>
                      <a:fillRect/>
                    </a:stretch>
                  </pic:blipFill>
                  <pic:spPr>
                    <a:xfrm>
                      <a:off x="0" y="0"/>
                      <a:ext cx="5897880" cy="3440430"/>
                    </a:xfrm>
                    <a:prstGeom prst="rect"/>
                  </pic:spPr>
                </pic:pic>
              </a:graphicData>
            </a:graphic>
          </wp:inline>
        </w:drawing>
      </w:r>
    </w:p>
    <w:p>
      <w:pPr>
        <w:pStyle w:val="FigureCaption"/>
        <w:jc w:val="center"/>
      </w:pPr>
      <w:r>
        <w:t>Figure 2. The anatomy of one trade sheet.</w:t>
      </w:r>
    </w:p>
    <w:p>
      <w:pPr>
        <w:pStyle w:val="Heading2"/>
      </w:pPr>
      <w:r>
        <w:t>The top of the sheet</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100"/>
        <w:gridCol w:w="2550"/>
        <w:gridCol w:w="4710"/>
      </w:tblGrid>
      <w:tr>
        <w:trPr>
          <w:tblHeader w:val="true"/>
          <w:cantSplit/>
        </w:trPr>
        <w:tc>
          <w:tcPr>
            <w:tcW w:type="dxa" w:w="21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Field</w:t>
            </w:r>
          </w:p>
        </w:tc>
        <w:tc>
          <w:tcPr>
            <w:tcW w:type="dxa" w:w="255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Who supplies it</w:t>
            </w:r>
          </w:p>
        </w:tc>
        <w:tc>
          <w:tcPr>
            <w:tcW w:type="dxa" w:w="471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What it means</w:t>
            </w:r>
          </w:p>
        </w:tc>
      </w:tr>
      <w:tr>
        <w:trPr>
          <w:cantSplit/>
        </w:trPr>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Project, bid date, trade, revision</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111827"/>
                <w:sz w:val="18"/>
              </w:rPr>
              <w:t>Bid captain / project setup</w:t>
            </w:r>
          </w:p>
        </w:tc>
        <w:tc>
          <w:tcPr>
            <w:tcW w:type="dxa" w:w="4710"/>
            <w:tcMar>
              <w:top w:w="80" w:type="dxa"/>
              <w:start w:w="120" w:type="dxa"/>
              <w:bottom w:w="80" w:type="dxa"/>
              <w:end w:w="120" w:type="dxa"/>
            </w:tcMar>
            <w:vAlign w:val="center"/>
          </w:tcPr>
          <w:p>
            <w:pPr>
              <w:spacing w:before="0" w:after="40" w:line="259" w:lineRule="auto"/>
            </w:pPr>
            <w:r>
              <w:rPr>
                <w:rFonts w:ascii="Calibri" w:hAnsi="Calibri"/>
                <w:color w:val="111827"/>
                <w:sz w:val="18"/>
              </w:rPr>
              <w:t>Identifies the bid event and package.</w:t>
            </w:r>
          </w:p>
        </w:tc>
      </w:tr>
      <w:tr>
        <w:trPr>
          <w:cantSplit/>
        </w:trPr>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Estimator contact</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111827"/>
                <w:sz w:val="18"/>
              </w:rPr>
              <w:t>Project team</w:t>
            </w:r>
          </w:p>
        </w:tc>
        <w:tc>
          <w:tcPr>
            <w:tcW w:type="dxa" w:w="4710"/>
            <w:tcMar>
              <w:top w:w="80" w:type="dxa"/>
              <w:start w:w="120" w:type="dxa"/>
              <w:bottom w:w="80" w:type="dxa"/>
              <w:end w:w="120" w:type="dxa"/>
            </w:tcMar>
            <w:vAlign w:val="center"/>
          </w:tcPr>
          <w:p>
            <w:pPr>
              <w:spacing w:before="0" w:after="40" w:line="259" w:lineRule="auto"/>
            </w:pPr>
            <w:r>
              <w:rPr>
                <w:rFonts w:ascii="Calibri" w:hAnsi="Calibri"/>
                <w:color w:val="111827"/>
                <w:sz w:val="18"/>
              </w:rPr>
              <w:t>Person responsible for this trade.</w:t>
            </w:r>
          </w:p>
        </w:tc>
      </w:tr>
      <w:tr>
        <w:trPr>
          <w:cantSplit/>
        </w:trPr>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Bidder company and contact</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111827"/>
                <w:sz w:val="18"/>
              </w:rPr>
              <w:t>Proposal / bidder database</w:t>
            </w:r>
          </w:p>
        </w:tc>
        <w:tc>
          <w:tcPr>
            <w:tcW w:type="dxa" w:w="4710"/>
            <w:tcMar>
              <w:top w:w="80" w:type="dxa"/>
              <w:start w:w="120" w:type="dxa"/>
              <w:bottom w:w="80" w:type="dxa"/>
              <w:end w:w="120" w:type="dxa"/>
            </w:tcMar>
            <w:vAlign w:val="center"/>
          </w:tcPr>
          <w:p>
            <w:pPr>
              <w:spacing w:before="0" w:after="40" w:line="259" w:lineRule="auto"/>
            </w:pPr>
            <w:r>
              <w:rPr>
                <w:rFonts w:ascii="Calibri" w:hAnsi="Calibri"/>
                <w:color w:val="111827"/>
                <w:sz w:val="18"/>
              </w:rPr>
              <w:t>The subcontractor being compared.</w:t>
            </w:r>
          </w:p>
        </w:tc>
      </w:tr>
      <w:tr>
        <w:trPr>
          <w:cantSplit/>
        </w:trPr>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Level Scope?</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111827"/>
                <w:sz w:val="18"/>
              </w:rPr>
              <w:t>Estimator</w:t>
            </w:r>
          </w:p>
        </w:tc>
        <w:tc>
          <w:tcPr>
            <w:tcW w:type="dxa" w:w="4710"/>
            <w:tcMar>
              <w:top w:w="80" w:type="dxa"/>
              <w:start w:w="120" w:type="dxa"/>
              <w:bottom w:w="80" w:type="dxa"/>
              <w:end w:w="120" w:type="dxa"/>
            </w:tcMar>
            <w:vAlign w:val="center"/>
          </w:tcPr>
          <w:p>
            <w:pPr>
              <w:spacing w:before="0" w:after="40" w:line="259" w:lineRule="auto"/>
            </w:pPr>
            <w:r>
              <w:rPr>
                <w:rFonts w:ascii="Calibri" w:hAnsi="Calibri"/>
                <w:color w:val="111827"/>
                <w:sz w:val="18"/>
              </w:rPr>
              <w:t>Whether review is complete enough to calculate/rank.</w:t>
            </w:r>
          </w:p>
        </w:tc>
      </w:tr>
      <w:tr>
        <w:trPr>
          <w:cantSplit/>
        </w:trPr>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Base Bid</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111827"/>
                <w:sz w:val="18"/>
              </w:rPr>
              <w:t>Subcontractor proposal</w:t>
            </w:r>
          </w:p>
        </w:tc>
        <w:tc>
          <w:tcPr>
            <w:tcW w:type="dxa" w:w="4710"/>
            <w:tcMar>
              <w:top w:w="80" w:type="dxa"/>
              <w:start w:w="120" w:type="dxa"/>
              <w:bottom w:w="80" w:type="dxa"/>
              <w:end w:w="120" w:type="dxa"/>
            </w:tcMar>
            <w:vAlign w:val="center"/>
          </w:tcPr>
          <w:p>
            <w:pPr>
              <w:spacing w:before="0" w:after="40" w:line="259" w:lineRule="auto"/>
            </w:pPr>
            <w:r>
              <w:rPr>
                <w:rFonts w:ascii="Calibri" w:hAnsi="Calibri"/>
                <w:color w:val="111827"/>
                <w:sz w:val="18"/>
              </w:rPr>
              <w:t>The bidder's submitted starting price.</w:t>
            </w:r>
          </w:p>
        </w:tc>
      </w:tr>
      <w:tr>
        <w:trPr>
          <w:cantSplit/>
        </w:trPr>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Adjustments</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111827"/>
                <w:sz w:val="18"/>
              </w:rPr>
              <w:t>Estimator judgment</w:t>
            </w:r>
          </w:p>
        </w:tc>
        <w:tc>
          <w:tcPr>
            <w:tcW w:type="dxa" w:w="4710"/>
            <w:tcMar>
              <w:top w:w="80" w:type="dxa"/>
              <w:start w:w="120" w:type="dxa"/>
              <w:bottom w:w="80" w:type="dxa"/>
              <w:end w:w="120" w:type="dxa"/>
            </w:tcMar>
            <w:vAlign w:val="center"/>
          </w:tcPr>
          <w:p>
            <w:pPr>
              <w:spacing w:before="0" w:after="40" w:line="259" w:lineRule="auto"/>
            </w:pPr>
            <w:r>
              <w:rPr>
                <w:rFonts w:ascii="Calibri" w:hAnsi="Calibri"/>
                <w:color w:val="111827"/>
                <w:sz w:val="18"/>
              </w:rPr>
              <w:t>Internal amount added or deducted to make scope comparable.</w:t>
            </w:r>
          </w:p>
        </w:tc>
      </w:tr>
      <w:tr>
        <w:trPr>
          <w:cantSplit/>
        </w:trPr>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Bond</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111827"/>
                <w:sz w:val="18"/>
              </w:rPr>
              <w:t>Workbook formula</w:t>
            </w:r>
          </w:p>
        </w:tc>
        <w:tc>
          <w:tcPr>
            <w:tcW w:type="dxa" w:w="4710"/>
            <w:tcMar>
              <w:top w:w="80" w:type="dxa"/>
              <w:start w:w="120" w:type="dxa"/>
              <w:bottom w:w="80" w:type="dxa"/>
              <w:end w:w="120" w:type="dxa"/>
            </w:tcMar>
            <w:vAlign w:val="center"/>
          </w:tcPr>
          <w:p>
            <w:pPr>
              <w:spacing w:before="0" w:after="40" w:line="259" w:lineRule="auto"/>
            </w:pPr>
            <w:r>
              <w:rPr>
                <w:rFonts w:ascii="Calibri" w:hAnsi="Calibri"/>
                <w:color w:val="111827"/>
                <w:sz w:val="18"/>
              </w:rPr>
              <w:t>In the Jelleff template, 2% of base bid plus adjustments.</w:t>
            </w:r>
          </w:p>
        </w:tc>
      </w:tr>
      <w:tr>
        <w:trPr>
          <w:cantSplit/>
        </w:trPr>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Total Bid and Rank</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111827"/>
                <w:sz w:val="18"/>
              </w:rPr>
              <w:t>Workbook formula</w:t>
            </w:r>
          </w:p>
        </w:tc>
        <w:tc>
          <w:tcPr>
            <w:tcW w:type="dxa" w:w="4710"/>
            <w:tcMar>
              <w:top w:w="80" w:type="dxa"/>
              <w:start w:w="120" w:type="dxa"/>
              <w:bottom w:w="80" w:type="dxa"/>
              <w:end w:w="120" w:type="dxa"/>
            </w:tcMar>
            <w:vAlign w:val="center"/>
          </w:tcPr>
          <w:p>
            <w:pPr>
              <w:spacing w:before="0" w:after="40" w:line="259" w:lineRule="auto"/>
            </w:pPr>
            <w:r>
              <w:rPr>
                <w:rFonts w:ascii="Calibri" w:hAnsi="Calibri"/>
                <w:color w:val="111827"/>
                <w:sz w:val="18"/>
              </w:rPr>
              <w:t>Comparable total and position among completed bidders.</w:t>
            </w:r>
          </w:p>
        </w:tc>
      </w:tr>
    </w:tbl>
    <w:p>
      <w:pPr>
        <w:spacing w:after="40"/>
      </w:pPr>
    </w:p>
    <w:p>
      <w:pPr>
        <w:pStyle w:val="Heading2"/>
      </w:pPr>
      <w:r>
        <w:t>The left side: Marcel's requirement</w:t>
      </w:r>
    </w:p>
    <w:p>
      <w:r>
        <w:rPr>
          <w:rFonts w:ascii="Calibri" w:hAnsi="Calibri"/>
          <w:color w:val="111827"/>
        </w:rPr>
        <w:t>Each scope row describes one required item. The Desired Scope column records what the GC wants—usually Y. The response/comment and internal MCN Budget fields can hold quantity, unit of measure, unit price, and cost.</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500"/>
        <w:gridCol w:w="6860"/>
      </w:tblGrid>
      <w:tr>
        <w:trPr>
          <w:tblHeader w:val="true"/>
          <w:cantSplit/>
        </w:trPr>
        <w:tc>
          <w:tcPr>
            <w:tcW w:type="dxa" w:w="25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Workbook field</w:t>
            </w:r>
          </w:p>
        </w:tc>
        <w:tc>
          <w:tcPr>
            <w:tcW w:type="dxa" w:w="68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Meaning</w:t>
            </w:r>
          </w:p>
        </w:tc>
      </w:tr>
      <w:tr>
        <w:trPr>
          <w:cantSplit/>
        </w:trPr>
        <w:tc>
          <w:tcPr>
            <w:tcW w:type="dxa" w:w="2500"/>
            <w:tcMar>
              <w:top w:w="80" w:type="dxa"/>
              <w:start w:w="120" w:type="dxa"/>
              <w:bottom w:w="80" w:type="dxa"/>
              <w:end w:w="120" w:type="dxa"/>
            </w:tcMar>
            <w:vAlign w:val="center"/>
          </w:tcPr>
          <w:p>
            <w:pPr>
              <w:spacing w:before="0" w:after="40" w:line="259" w:lineRule="auto"/>
            </w:pPr>
            <w:r>
              <w:rPr>
                <w:rFonts w:ascii="Calibri" w:hAnsi="Calibri"/>
                <w:color w:val="111827"/>
                <w:sz w:val="18"/>
              </w:rPr>
              <w:t>Scope Items to include</w:t>
            </w:r>
          </w:p>
        </w:tc>
        <w:tc>
          <w:tcPr>
            <w:tcW w:type="dxa" w:w="6860"/>
            <w:tcMar>
              <w:top w:w="80" w:type="dxa"/>
              <w:start w:w="120" w:type="dxa"/>
              <w:bottom w:w="80" w:type="dxa"/>
              <w:end w:w="120" w:type="dxa"/>
            </w:tcMar>
            <w:vAlign w:val="center"/>
          </w:tcPr>
          <w:p>
            <w:pPr>
              <w:spacing w:before="0" w:after="40" w:line="259" w:lineRule="auto"/>
            </w:pPr>
            <w:r>
              <w:rPr>
                <w:rFonts w:ascii="Calibri" w:hAnsi="Calibri"/>
                <w:color w:val="111827"/>
                <w:sz w:val="18"/>
              </w:rPr>
              <w:t>The master checklist the bidders must be compared against.</w:t>
            </w:r>
          </w:p>
        </w:tc>
      </w:tr>
      <w:tr>
        <w:trPr>
          <w:cantSplit/>
        </w:trPr>
        <w:tc>
          <w:tcPr>
            <w:tcW w:type="dxa" w:w="2500"/>
            <w:tcMar>
              <w:top w:w="80" w:type="dxa"/>
              <w:start w:w="120" w:type="dxa"/>
              <w:bottom w:w="80" w:type="dxa"/>
              <w:end w:w="120" w:type="dxa"/>
            </w:tcMar>
            <w:vAlign w:val="center"/>
          </w:tcPr>
          <w:p>
            <w:pPr>
              <w:spacing w:before="0" w:after="40" w:line="259" w:lineRule="auto"/>
            </w:pPr>
            <w:r>
              <w:rPr>
                <w:rFonts w:ascii="Calibri" w:hAnsi="Calibri"/>
                <w:color w:val="111827"/>
                <w:sz w:val="18"/>
              </w:rPr>
              <w:t>Desired Scope</w:t>
            </w:r>
          </w:p>
        </w:tc>
        <w:tc>
          <w:tcPr>
            <w:tcW w:type="dxa" w:w="6860"/>
            <w:tcMar>
              <w:top w:w="80" w:type="dxa"/>
              <w:start w:w="120" w:type="dxa"/>
              <w:bottom w:w="80" w:type="dxa"/>
              <w:end w:w="120" w:type="dxa"/>
            </w:tcMar>
            <w:vAlign w:val="center"/>
          </w:tcPr>
          <w:p>
            <w:pPr>
              <w:spacing w:before="0" w:after="40" w:line="259" w:lineRule="auto"/>
            </w:pPr>
            <w:r>
              <w:rPr>
                <w:rFonts w:ascii="Calibri" w:hAnsi="Calibri"/>
                <w:color w:val="111827"/>
                <w:sz w:val="18"/>
              </w:rPr>
              <w:t>Whether the GC expects the item to be included.</w:t>
            </w:r>
          </w:p>
        </w:tc>
      </w:tr>
      <w:tr>
        <w:trPr>
          <w:cantSplit/>
        </w:trPr>
        <w:tc>
          <w:tcPr>
            <w:tcW w:type="dxa" w:w="2500"/>
            <w:tcMar>
              <w:top w:w="80" w:type="dxa"/>
              <w:start w:w="120" w:type="dxa"/>
              <w:bottom w:w="80" w:type="dxa"/>
              <w:end w:w="120" w:type="dxa"/>
            </w:tcMar>
            <w:vAlign w:val="center"/>
          </w:tcPr>
          <w:p>
            <w:pPr>
              <w:spacing w:before="0" w:after="40" w:line="259" w:lineRule="auto"/>
            </w:pPr>
            <w:r>
              <w:rPr>
                <w:rFonts w:ascii="Calibri" w:hAnsi="Calibri"/>
                <w:color w:val="111827"/>
                <w:sz w:val="18"/>
              </w:rPr>
              <w:t>Response / Comment</w:t>
            </w:r>
          </w:p>
        </w:tc>
        <w:tc>
          <w:tcPr>
            <w:tcW w:type="dxa" w:w="6860"/>
            <w:tcMar>
              <w:top w:w="80" w:type="dxa"/>
              <w:start w:w="120" w:type="dxa"/>
              <w:bottom w:w="80" w:type="dxa"/>
              <w:end w:w="120" w:type="dxa"/>
            </w:tcMar>
            <w:vAlign w:val="center"/>
          </w:tcPr>
          <w:p>
            <w:pPr>
              <w:spacing w:before="0" w:after="40" w:line="259" w:lineRule="auto"/>
            </w:pPr>
            <w:r>
              <w:rPr>
                <w:rFonts w:ascii="Calibri" w:hAnsi="Calibri"/>
                <w:color w:val="111827"/>
                <w:sz w:val="18"/>
              </w:rPr>
              <w:t>Internal clarification or response associated with the requirement.</w:t>
            </w:r>
          </w:p>
        </w:tc>
      </w:tr>
      <w:tr>
        <w:trPr>
          <w:cantSplit/>
        </w:trPr>
        <w:tc>
          <w:tcPr>
            <w:tcW w:type="dxa" w:w="2500"/>
            <w:tcMar>
              <w:top w:w="80" w:type="dxa"/>
              <w:start w:w="120" w:type="dxa"/>
              <w:bottom w:w="80" w:type="dxa"/>
              <w:end w:w="120" w:type="dxa"/>
            </w:tcMar>
            <w:vAlign w:val="center"/>
          </w:tcPr>
          <w:p>
            <w:pPr>
              <w:spacing w:before="0" w:after="40" w:line="259" w:lineRule="auto"/>
            </w:pPr>
            <w:r>
              <w:rPr>
                <w:rFonts w:ascii="Calibri" w:hAnsi="Calibri"/>
                <w:color w:val="111827"/>
                <w:sz w:val="18"/>
              </w:rPr>
              <w:t>QTY</w:t>
            </w:r>
          </w:p>
        </w:tc>
        <w:tc>
          <w:tcPr>
            <w:tcW w:type="dxa" w:w="6860"/>
            <w:tcMar>
              <w:top w:w="80" w:type="dxa"/>
              <w:start w:w="120" w:type="dxa"/>
              <w:bottom w:w="80" w:type="dxa"/>
              <w:end w:w="120" w:type="dxa"/>
            </w:tcMar>
            <w:vAlign w:val="center"/>
          </w:tcPr>
          <w:p>
            <w:pPr>
              <w:spacing w:before="0" w:after="40" w:line="259" w:lineRule="auto"/>
            </w:pPr>
            <w:r>
              <w:rPr>
                <w:rFonts w:ascii="Calibri" w:hAnsi="Calibri"/>
                <w:color w:val="111827"/>
                <w:sz w:val="18"/>
              </w:rPr>
              <w:t>Quantity.</w:t>
            </w:r>
          </w:p>
        </w:tc>
      </w:tr>
      <w:tr>
        <w:trPr>
          <w:cantSplit/>
        </w:trPr>
        <w:tc>
          <w:tcPr>
            <w:tcW w:type="dxa" w:w="2500"/>
            <w:tcMar>
              <w:top w:w="80" w:type="dxa"/>
              <w:start w:w="120" w:type="dxa"/>
              <w:bottom w:w="80" w:type="dxa"/>
              <w:end w:w="120" w:type="dxa"/>
            </w:tcMar>
            <w:vAlign w:val="center"/>
          </w:tcPr>
          <w:p>
            <w:pPr>
              <w:spacing w:before="0" w:after="40" w:line="259" w:lineRule="auto"/>
            </w:pPr>
            <w:r>
              <w:rPr>
                <w:rFonts w:ascii="Calibri" w:hAnsi="Calibri"/>
                <w:color w:val="111827"/>
                <w:sz w:val="18"/>
              </w:rPr>
              <w:t>UOM</w:t>
            </w:r>
          </w:p>
        </w:tc>
        <w:tc>
          <w:tcPr>
            <w:tcW w:type="dxa" w:w="6860"/>
            <w:tcMar>
              <w:top w:w="80" w:type="dxa"/>
              <w:start w:w="120" w:type="dxa"/>
              <w:bottom w:w="80" w:type="dxa"/>
              <w:end w:w="120" w:type="dxa"/>
            </w:tcMar>
            <w:vAlign w:val="center"/>
          </w:tcPr>
          <w:p>
            <w:pPr>
              <w:spacing w:before="0" w:after="40" w:line="259" w:lineRule="auto"/>
            </w:pPr>
            <w:r>
              <w:rPr>
                <w:rFonts w:ascii="Calibri" w:hAnsi="Calibri"/>
                <w:color w:val="111827"/>
                <w:sz w:val="18"/>
              </w:rPr>
              <w:t>Unit of measure: SF, LF, CY, EA, LS, and similar units.</w:t>
            </w:r>
          </w:p>
        </w:tc>
      </w:tr>
      <w:tr>
        <w:trPr>
          <w:cantSplit/>
        </w:trPr>
        <w:tc>
          <w:tcPr>
            <w:tcW w:type="dxa" w:w="2500"/>
            <w:tcMar>
              <w:top w:w="80" w:type="dxa"/>
              <w:start w:w="120" w:type="dxa"/>
              <w:bottom w:w="80" w:type="dxa"/>
              <w:end w:w="120" w:type="dxa"/>
            </w:tcMar>
            <w:vAlign w:val="center"/>
          </w:tcPr>
          <w:p>
            <w:pPr>
              <w:spacing w:before="0" w:after="40" w:line="259" w:lineRule="auto"/>
            </w:pPr>
            <w:r>
              <w:rPr>
                <w:rFonts w:ascii="Calibri" w:hAnsi="Calibri"/>
                <w:color w:val="111827"/>
                <w:sz w:val="18"/>
              </w:rPr>
              <w:t>$/UOM</w:t>
            </w:r>
          </w:p>
        </w:tc>
        <w:tc>
          <w:tcPr>
            <w:tcW w:type="dxa" w:w="6860"/>
            <w:tcMar>
              <w:top w:w="80" w:type="dxa"/>
              <w:start w:w="120" w:type="dxa"/>
              <w:bottom w:w="80" w:type="dxa"/>
              <w:end w:w="120" w:type="dxa"/>
            </w:tcMar>
            <w:vAlign w:val="center"/>
          </w:tcPr>
          <w:p>
            <w:pPr>
              <w:spacing w:before="0" w:after="40" w:line="259" w:lineRule="auto"/>
            </w:pPr>
            <w:r>
              <w:rPr>
                <w:rFonts w:ascii="Calibri" w:hAnsi="Calibri"/>
                <w:color w:val="111827"/>
                <w:sz w:val="18"/>
              </w:rPr>
              <w:t>Expected cost per unit.</w:t>
            </w:r>
          </w:p>
        </w:tc>
      </w:tr>
      <w:tr>
        <w:trPr>
          <w:cantSplit/>
        </w:trPr>
        <w:tc>
          <w:tcPr>
            <w:tcW w:type="dxa" w:w="2500"/>
            <w:tcMar>
              <w:top w:w="80" w:type="dxa"/>
              <w:start w:w="120" w:type="dxa"/>
              <w:bottom w:w="80" w:type="dxa"/>
              <w:end w:w="120" w:type="dxa"/>
            </w:tcMar>
            <w:vAlign w:val="center"/>
          </w:tcPr>
          <w:p>
            <w:pPr>
              <w:spacing w:before="0" w:after="40" w:line="259" w:lineRule="auto"/>
            </w:pPr>
            <w:r>
              <w:rPr>
                <w:rFonts w:ascii="Calibri" w:hAnsi="Calibri"/>
                <w:color w:val="111827"/>
                <w:sz w:val="18"/>
              </w:rPr>
              <w:t>COST</w:t>
            </w:r>
          </w:p>
        </w:tc>
        <w:tc>
          <w:tcPr>
            <w:tcW w:type="dxa" w:w="6860"/>
            <w:tcMar>
              <w:top w:w="80" w:type="dxa"/>
              <w:start w:w="120" w:type="dxa"/>
              <w:bottom w:w="80" w:type="dxa"/>
              <w:end w:w="120" w:type="dxa"/>
            </w:tcMar>
            <w:vAlign w:val="center"/>
          </w:tcPr>
          <w:p>
            <w:pPr>
              <w:spacing w:before="0" w:after="40" w:line="259" w:lineRule="auto"/>
            </w:pPr>
            <w:r>
              <w:rPr>
                <w:rFonts w:ascii="Calibri" w:hAnsi="Calibri"/>
                <w:color w:val="111827"/>
                <w:sz w:val="18"/>
              </w:rPr>
              <w:t>Quantity multiplied by unit price.</w:t>
            </w:r>
          </w:p>
        </w:tc>
      </w:tr>
    </w:tbl>
    <w:p>
      <w:pPr>
        <w:spacing w:after="40"/>
      </w:pPr>
    </w:p>
    <w:p>
      <w:pPr>
        <w:pStyle w:val="Heading2"/>
      </w:pPr>
      <w:r>
        <w:t>The right side: the bidders</w:t>
      </w:r>
    </w:p>
    <w:p>
      <w:r>
        <w:rPr>
          <w:rFonts w:ascii="Calibri" w:hAnsi="Calibri"/>
          <w:color w:val="111827"/>
        </w:rPr>
        <w:t>Every subcontractor receives the same three columns for every scope row. This is the heart of bid leveling.</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100"/>
        <w:gridCol w:w="3700"/>
        <w:gridCol w:w="4560"/>
      </w:tblGrid>
      <w:tr>
        <w:trPr>
          <w:tblHeader w:val="true"/>
          <w:cantSplit/>
        </w:trPr>
        <w:tc>
          <w:tcPr>
            <w:tcW w:type="dxa" w:w="11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Field</w:t>
            </w:r>
          </w:p>
        </w:tc>
        <w:tc>
          <w:tcPr>
            <w:tcW w:type="dxa" w:w="37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Meaning</w:t>
            </w:r>
          </w:p>
        </w:tc>
        <w:tc>
          <w:tcPr>
            <w:tcW w:type="dxa" w:w="45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Example</w:t>
            </w:r>
          </w:p>
        </w:tc>
      </w:tr>
      <w:tr>
        <w:trPr>
          <w:cantSplit/>
        </w:trPr>
        <w:tc>
          <w:tcPr>
            <w:tcW w:type="dxa" w:w="1100"/>
            <w:tcMar>
              <w:top w:w="80" w:type="dxa"/>
              <w:start w:w="120" w:type="dxa"/>
              <w:bottom w:w="80" w:type="dxa"/>
              <w:end w:w="120" w:type="dxa"/>
            </w:tcMar>
            <w:vAlign w:val="center"/>
          </w:tcPr>
          <w:p>
            <w:pPr>
              <w:spacing w:before="0" w:after="40" w:line="259" w:lineRule="auto"/>
            </w:pPr>
            <w:r>
              <w:rPr>
                <w:rFonts w:ascii="Calibri" w:hAnsi="Calibri"/>
                <w:color w:val="111827"/>
                <w:sz w:val="18"/>
              </w:rPr>
              <w:t>Y</w:t>
            </w:r>
          </w:p>
        </w:tc>
        <w:tc>
          <w:tcPr>
            <w:tcW w:type="dxa" w:w="3700"/>
            <w:tcMar>
              <w:top w:w="80" w:type="dxa"/>
              <w:start w:w="120" w:type="dxa"/>
              <w:bottom w:w="80" w:type="dxa"/>
              <w:end w:w="120" w:type="dxa"/>
            </w:tcMar>
            <w:vAlign w:val="center"/>
          </w:tcPr>
          <w:p>
            <w:pPr>
              <w:spacing w:before="0" w:after="40" w:line="259" w:lineRule="auto"/>
            </w:pPr>
            <w:r>
              <w:rPr>
                <w:rFonts w:ascii="Calibri" w:hAnsi="Calibri"/>
                <w:color w:val="111827"/>
                <w:sz w:val="18"/>
              </w:rPr>
              <w:t>Complete inclusion</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111827"/>
                <w:sz w:val="18"/>
              </w:rPr>
              <w:t>Proposal clearly includes removal and disposal.</w:t>
            </w:r>
          </w:p>
        </w:tc>
      </w:tr>
      <w:tr>
        <w:trPr>
          <w:cantSplit/>
        </w:trPr>
        <w:tc>
          <w:tcPr>
            <w:tcW w:type="dxa" w:w="1100"/>
            <w:tcMar>
              <w:top w:w="80" w:type="dxa"/>
              <w:start w:w="120" w:type="dxa"/>
              <w:bottom w:w="80" w:type="dxa"/>
              <w:end w:w="120" w:type="dxa"/>
            </w:tcMar>
            <w:vAlign w:val="center"/>
          </w:tcPr>
          <w:p>
            <w:pPr>
              <w:spacing w:before="0" w:after="40" w:line="259" w:lineRule="auto"/>
            </w:pPr>
            <w:r>
              <w:rPr>
                <w:rFonts w:ascii="Calibri" w:hAnsi="Calibri"/>
                <w:color w:val="111827"/>
                <w:sz w:val="18"/>
              </w:rPr>
              <w:t>N</w:t>
            </w:r>
          </w:p>
        </w:tc>
        <w:tc>
          <w:tcPr>
            <w:tcW w:type="dxa" w:w="3700"/>
            <w:tcMar>
              <w:top w:w="80" w:type="dxa"/>
              <w:start w:w="120" w:type="dxa"/>
              <w:bottom w:w="80" w:type="dxa"/>
              <w:end w:w="120" w:type="dxa"/>
            </w:tcMar>
            <w:vAlign w:val="center"/>
          </w:tcPr>
          <w:p>
            <w:pPr>
              <w:spacing w:before="0" w:after="40" w:line="259" w:lineRule="auto"/>
            </w:pPr>
            <w:r>
              <w:rPr>
                <w:rFonts w:ascii="Calibri" w:hAnsi="Calibri"/>
                <w:color w:val="111827"/>
                <w:sz w:val="18"/>
              </w:rPr>
              <w:t>Excluded</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111827"/>
                <w:sz w:val="18"/>
              </w:rPr>
              <w:t>Proposal says concrete footings are excluded.</w:t>
            </w:r>
          </w:p>
        </w:tc>
      </w:tr>
      <w:tr>
        <w:trPr>
          <w:cantSplit/>
        </w:trPr>
        <w:tc>
          <w:tcPr>
            <w:tcW w:type="dxa" w:w="1100"/>
            <w:tcMar>
              <w:top w:w="80" w:type="dxa"/>
              <w:start w:w="120" w:type="dxa"/>
              <w:bottom w:w="80" w:type="dxa"/>
              <w:end w:w="120" w:type="dxa"/>
            </w:tcMar>
            <w:vAlign w:val="center"/>
          </w:tcPr>
          <w:p>
            <w:pPr>
              <w:spacing w:before="0" w:after="40" w:line="259" w:lineRule="auto"/>
            </w:pPr>
            <w:r>
              <w:rPr>
                <w:rFonts w:ascii="Calibri" w:hAnsi="Calibri"/>
                <w:color w:val="111827"/>
                <w:sz w:val="18"/>
              </w:rPr>
              <w:t>P</w:t>
            </w:r>
          </w:p>
        </w:tc>
        <w:tc>
          <w:tcPr>
            <w:tcW w:type="dxa" w:w="3700"/>
            <w:tcMar>
              <w:top w:w="80" w:type="dxa"/>
              <w:start w:w="120" w:type="dxa"/>
              <w:bottom w:w="80" w:type="dxa"/>
              <w:end w:w="120" w:type="dxa"/>
            </w:tcMar>
            <w:vAlign w:val="center"/>
          </w:tcPr>
          <w:p>
            <w:pPr>
              <w:spacing w:before="0" w:after="40" w:line="259" w:lineRule="auto"/>
            </w:pPr>
            <w:r>
              <w:rPr>
                <w:rFonts w:ascii="Calibri" w:hAnsi="Calibri"/>
                <w:color w:val="111827"/>
                <w:sz w:val="18"/>
              </w:rPr>
              <w:t>Partial inclusion</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111827"/>
                <w:sz w:val="18"/>
              </w:rPr>
              <w:t>Includes one mobilization, but the scope requires several.</w:t>
            </w:r>
          </w:p>
        </w:tc>
      </w:tr>
      <w:tr>
        <w:trPr>
          <w:cantSplit/>
        </w:trPr>
        <w:tc>
          <w:tcPr>
            <w:tcW w:type="dxa" w:w="1100"/>
            <w:tcMar>
              <w:top w:w="80" w:type="dxa"/>
              <w:start w:w="120" w:type="dxa"/>
              <w:bottom w:w="80" w:type="dxa"/>
              <w:end w:w="120" w:type="dxa"/>
            </w:tcMar>
            <w:vAlign w:val="center"/>
          </w:tcPr>
          <w:p>
            <w:pPr>
              <w:spacing w:before="0" w:after="40" w:line="259" w:lineRule="auto"/>
            </w:pPr>
            <w:r>
              <w:rPr>
                <w:rFonts w:ascii="Calibri" w:hAnsi="Calibri"/>
                <w:color w:val="111827"/>
                <w:sz w:val="18"/>
              </w:rPr>
              <w:t>Note</w:t>
            </w:r>
          </w:p>
        </w:tc>
        <w:tc>
          <w:tcPr>
            <w:tcW w:type="dxa" w:w="3700"/>
            <w:tcMar>
              <w:top w:w="80" w:type="dxa"/>
              <w:start w:w="120" w:type="dxa"/>
              <w:bottom w:w="80" w:type="dxa"/>
              <w:end w:w="120" w:type="dxa"/>
            </w:tcMar>
            <w:vAlign w:val="center"/>
          </w:tcPr>
          <w:p>
            <w:pPr>
              <w:spacing w:before="0" w:after="40" w:line="259" w:lineRule="auto"/>
            </w:pPr>
            <w:r>
              <w:rPr>
                <w:rFonts w:ascii="Calibri" w:hAnsi="Calibri"/>
                <w:color w:val="111827"/>
                <w:sz w:val="18"/>
              </w:rPr>
              <w:t>Reason and evidence</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111827"/>
                <w:sz w:val="18"/>
              </w:rPr>
              <w:t>“Make-safe by others” or proposal page reference.</w:t>
            </w:r>
          </w:p>
        </w:tc>
      </w:tr>
      <w:tr>
        <w:trPr>
          <w:cantSplit/>
        </w:trPr>
        <w:tc>
          <w:tcPr>
            <w:tcW w:type="dxa" w:w="1100"/>
            <w:tcMar>
              <w:top w:w="80" w:type="dxa"/>
              <w:start w:w="120" w:type="dxa"/>
              <w:bottom w:w="80" w:type="dxa"/>
              <w:end w:w="120" w:type="dxa"/>
            </w:tcMar>
            <w:vAlign w:val="center"/>
          </w:tcPr>
          <w:p>
            <w:pPr>
              <w:spacing w:before="0" w:after="40" w:line="259" w:lineRule="auto"/>
            </w:pPr>
            <w:r>
              <w:rPr>
                <w:rFonts w:ascii="Calibri" w:hAnsi="Calibri"/>
                <w:color w:val="111827"/>
                <w:sz w:val="18"/>
              </w:rPr>
              <w:t>Adjustment</w:t>
            </w:r>
          </w:p>
        </w:tc>
        <w:tc>
          <w:tcPr>
            <w:tcW w:type="dxa" w:w="3700"/>
            <w:tcMar>
              <w:top w:w="80" w:type="dxa"/>
              <w:start w:w="120" w:type="dxa"/>
              <w:bottom w:w="80" w:type="dxa"/>
              <w:end w:w="120" w:type="dxa"/>
            </w:tcMar>
            <w:vAlign w:val="center"/>
          </w:tcPr>
          <w:p>
            <w:pPr>
              <w:spacing w:before="0" w:after="40" w:line="259" w:lineRule="auto"/>
            </w:pPr>
            <w:r>
              <w:rPr>
                <w:rFonts w:ascii="Calibri" w:hAnsi="Calibri"/>
                <w:color w:val="111827"/>
                <w:sz w:val="18"/>
              </w:rPr>
              <w:t>Internal cost needed to normalize the bid</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111827"/>
                <w:sz w:val="18"/>
              </w:rPr>
              <w:t>$18,000 added for a missing second mobilization.</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F26B2B"/>
          <w:left w:val="single" w:sz="10" w:space="0" w:color="F26B2B"/>
          <w:bottom w:val="single" w:sz="10" w:space="0" w:color="F26B2B"/>
          <w:right w:val="single" w:sz="10" w:space="0" w:color="F26B2B"/>
          <w:insideH w:val="single" w:sz="10" w:space="0" w:color="F26B2B"/>
          <w:insideV w:val="single" w:sz="10" w:space="0" w:color="F26B2B"/>
        </w:tblBorders>
      </w:tblPr>
      <w:tblGrid>
        <w:gridCol w:w="9360"/>
      </w:tblGrid>
      <w:tr>
        <w:tc>
          <w:tcPr>
            <w:tcW w:type="dxa" w:w="9360"/>
            <w:shd w:fill="F4F6F9"/>
            <w:tcMar>
              <w:top w:w="80" w:type="dxa"/>
              <w:start w:w="120" w:type="dxa"/>
              <w:bottom w:w="80" w:type="dxa"/>
              <w:end w:w="120" w:type="dxa"/>
            </w:tcMar>
          </w:tcPr>
          <w:p>
            <w:pPr>
              <w:spacing w:after="0"/>
            </w:pPr>
            <w:r/>
            <w:r>
              <w:rPr>
                <w:rFonts w:ascii="Calibri" w:hAnsi="Calibri"/>
                <w:b/>
                <w:color w:val="F26B2B"/>
                <w:sz w:val="21"/>
              </w:rPr>
              <w:t xml:space="preserve">DO NOT CONFUSE THESE  </w:t>
            </w:r>
            <w:r>
              <w:rPr>
                <w:rFonts w:ascii="Calibri" w:hAnsi="Calibri"/>
                <w:color w:val="111827"/>
                <w:sz w:val="21"/>
              </w:rPr>
              <w:t>Desired Scope = what Marcel wants. Bidder Y/N/P = what a particular proposal appears to include. They answer different questions.</w:t>
            </w:r>
          </w:p>
        </w:tc>
      </w:tr>
    </w:tbl>
    <w:p>
      <w:pPr>
        <w:spacing w:after="20"/>
      </w:pPr>
    </w:p>
    <w:p>
      <w:r>
        <w:br w:type="page"/>
      </w:r>
    </w:p>
    <w:p>
      <w:pPr>
        <w:pStyle w:val="Heading2"/>
      </w:pPr>
      <w:r>
        <w:t>What the Jelleff demolition sheet contains</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650"/>
        <w:gridCol w:w="1900"/>
        <w:gridCol w:w="2100"/>
        <w:gridCol w:w="2710"/>
      </w:tblGrid>
      <w:tr>
        <w:trPr>
          <w:tblHeader w:val="true"/>
          <w:cantSplit/>
        </w:trPr>
        <w:tc>
          <w:tcPr>
            <w:tcW w:type="dxa" w:w="265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Bidder</w:t>
            </w:r>
          </w:p>
        </w:tc>
        <w:tc>
          <w:tcPr>
            <w:tcW w:type="dxa" w:w="19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Base bid</w:t>
            </w:r>
          </w:p>
        </w:tc>
        <w:tc>
          <w:tcPr>
            <w:tcW w:type="dxa" w:w="21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Workbook status</w:t>
            </w:r>
          </w:p>
        </w:tc>
        <w:tc>
          <w:tcPr>
            <w:tcW w:type="dxa" w:w="271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Cached total</w:t>
            </w:r>
          </w:p>
        </w:tc>
      </w:tr>
      <w:tr>
        <w:trPr>
          <w:cantSplit/>
        </w:trPr>
        <w:tc>
          <w:tcPr>
            <w:tcW w:type="dxa" w:w="2650"/>
            <w:tcMar>
              <w:top w:w="80" w:type="dxa"/>
              <w:start w:w="120" w:type="dxa"/>
              <w:bottom w:w="80" w:type="dxa"/>
              <w:end w:w="120" w:type="dxa"/>
            </w:tcMar>
            <w:vAlign w:val="center"/>
          </w:tcPr>
          <w:p>
            <w:pPr>
              <w:spacing w:before="0" w:after="40" w:line="259" w:lineRule="auto"/>
            </w:pPr>
            <w:r>
              <w:rPr>
                <w:rFonts w:ascii="Calibri" w:hAnsi="Calibri"/>
                <w:color w:val="111827"/>
                <w:sz w:val="18"/>
              </w:rPr>
              <w:t>Celtic Demo</w:t>
            </w:r>
          </w:p>
        </w:tc>
        <w:tc>
          <w:tcPr>
            <w:tcW w:type="dxa" w:w="1900"/>
            <w:tcMar>
              <w:top w:w="80" w:type="dxa"/>
              <w:start w:w="120" w:type="dxa"/>
              <w:bottom w:w="80" w:type="dxa"/>
              <w:end w:w="120" w:type="dxa"/>
            </w:tcMar>
            <w:vAlign w:val="center"/>
          </w:tcPr>
          <w:p>
            <w:pPr>
              <w:spacing w:before="0" w:after="40" w:line="259" w:lineRule="auto"/>
            </w:pPr>
            <w:r>
              <w:rPr>
                <w:rFonts w:ascii="Calibri" w:hAnsi="Calibri"/>
                <w:color w:val="111827"/>
                <w:sz w:val="18"/>
              </w:rPr>
              <w:t>$290,000</w:t>
            </w:r>
          </w:p>
        </w:tc>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FULL SCOPE</w:t>
            </w:r>
          </w:p>
        </w:tc>
        <w:tc>
          <w:tcPr>
            <w:tcW w:type="dxa" w:w="2710"/>
            <w:tcMar>
              <w:top w:w="80" w:type="dxa"/>
              <w:start w:w="120" w:type="dxa"/>
              <w:bottom w:w="80" w:type="dxa"/>
              <w:end w:w="120" w:type="dxa"/>
            </w:tcMar>
            <w:vAlign w:val="center"/>
          </w:tcPr>
          <w:p>
            <w:pPr>
              <w:spacing w:before="0" w:after="40" w:line="259" w:lineRule="auto"/>
            </w:pPr>
            <w:r>
              <w:rPr>
                <w:rFonts w:ascii="Calibri" w:hAnsi="Calibri"/>
                <w:color w:val="111827"/>
                <w:sz w:val="18"/>
              </w:rPr>
              <w:t>$295,800</w:t>
            </w:r>
          </w:p>
        </w:tc>
      </w:tr>
      <w:tr>
        <w:trPr>
          <w:cantSplit/>
        </w:trPr>
        <w:tc>
          <w:tcPr>
            <w:tcW w:type="dxa" w:w="2650"/>
            <w:tcMar>
              <w:top w:w="80" w:type="dxa"/>
              <w:start w:w="120" w:type="dxa"/>
              <w:bottom w:w="80" w:type="dxa"/>
              <w:end w:w="120" w:type="dxa"/>
            </w:tcMar>
            <w:vAlign w:val="center"/>
          </w:tcPr>
          <w:p>
            <w:pPr>
              <w:spacing w:before="0" w:after="40" w:line="259" w:lineRule="auto"/>
            </w:pPr>
            <w:r>
              <w:rPr>
                <w:rFonts w:ascii="Calibri" w:hAnsi="Calibri"/>
                <w:color w:val="111827"/>
                <w:sz w:val="18"/>
              </w:rPr>
              <w:t>Marc's Demo</w:t>
            </w:r>
          </w:p>
        </w:tc>
        <w:tc>
          <w:tcPr>
            <w:tcW w:type="dxa" w:w="1900"/>
            <w:tcMar>
              <w:top w:w="80" w:type="dxa"/>
              <w:start w:w="120" w:type="dxa"/>
              <w:bottom w:w="80" w:type="dxa"/>
              <w:end w:w="120" w:type="dxa"/>
            </w:tcMar>
            <w:vAlign w:val="center"/>
          </w:tcPr>
          <w:p>
            <w:pPr>
              <w:spacing w:before="0" w:after="40" w:line="259" w:lineRule="auto"/>
            </w:pPr>
            <w:r>
              <w:rPr>
                <w:rFonts w:ascii="Calibri" w:hAnsi="Calibri"/>
                <w:color w:val="111827"/>
                <w:sz w:val="18"/>
              </w:rPr>
              <w:t>$240,000</w:t>
            </w:r>
          </w:p>
        </w:tc>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FULL SCOPE</w:t>
            </w:r>
          </w:p>
        </w:tc>
        <w:tc>
          <w:tcPr>
            <w:tcW w:type="dxa" w:w="2710"/>
            <w:tcMar>
              <w:top w:w="80" w:type="dxa"/>
              <w:start w:w="120" w:type="dxa"/>
              <w:bottom w:w="80" w:type="dxa"/>
              <w:end w:w="120" w:type="dxa"/>
            </w:tcMar>
            <w:vAlign w:val="center"/>
          </w:tcPr>
          <w:p>
            <w:pPr>
              <w:spacing w:before="0" w:after="40" w:line="259" w:lineRule="auto"/>
            </w:pPr>
            <w:r>
              <w:rPr>
                <w:rFonts w:ascii="Calibri" w:hAnsi="Calibri"/>
                <w:color w:val="111827"/>
                <w:sz w:val="18"/>
              </w:rPr>
              <w:t>$244,800</w:t>
            </w:r>
          </w:p>
        </w:tc>
      </w:tr>
      <w:tr>
        <w:trPr>
          <w:cantSplit/>
        </w:trPr>
        <w:tc>
          <w:tcPr>
            <w:tcW w:type="dxa" w:w="2650"/>
            <w:tcMar>
              <w:top w:w="80" w:type="dxa"/>
              <w:start w:w="120" w:type="dxa"/>
              <w:bottom w:w="80" w:type="dxa"/>
              <w:end w:w="120" w:type="dxa"/>
            </w:tcMar>
            <w:vAlign w:val="center"/>
          </w:tcPr>
          <w:p>
            <w:pPr>
              <w:spacing w:before="0" w:after="40" w:line="259" w:lineRule="auto"/>
            </w:pPr>
            <w:r>
              <w:rPr>
                <w:rFonts w:ascii="Calibri" w:hAnsi="Calibri"/>
                <w:color w:val="111827"/>
                <w:sz w:val="18"/>
              </w:rPr>
              <w:t>ACECO</w:t>
            </w:r>
          </w:p>
        </w:tc>
        <w:tc>
          <w:tcPr>
            <w:tcW w:type="dxa" w:w="1900"/>
            <w:tcMar>
              <w:top w:w="80" w:type="dxa"/>
              <w:start w:w="120" w:type="dxa"/>
              <w:bottom w:w="80" w:type="dxa"/>
              <w:end w:w="120" w:type="dxa"/>
            </w:tcMar>
            <w:vAlign w:val="center"/>
          </w:tcPr>
          <w:p>
            <w:pPr>
              <w:spacing w:before="0" w:after="40" w:line="259" w:lineRule="auto"/>
            </w:pPr>
            <w:r>
              <w:rPr>
                <w:rFonts w:ascii="Calibri" w:hAnsi="Calibri"/>
                <w:color w:val="111827"/>
                <w:sz w:val="18"/>
              </w:rPr>
              <w:t>$358,597</w:t>
            </w:r>
          </w:p>
        </w:tc>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FULL SCOPE</w:t>
            </w:r>
          </w:p>
        </w:tc>
        <w:tc>
          <w:tcPr>
            <w:tcW w:type="dxa" w:w="2710"/>
            <w:tcMar>
              <w:top w:w="80" w:type="dxa"/>
              <w:start w:w="120" w:type="dxa"/>
              <w:bottom w:w="80" w:type="dxa"/>
              <w:end w:w="120" w:type="dxa"/>
            </w:tcMar>
            <w:vAlign w:val="center"/>
          </w:tcPr>
          <w:p>
            <w:pPr>
              <w:spacing w:before="0" w:after="40" w:line="259" w:lineRule="auto"/>
            </w:pPr>
            <w:r>
              <w:rPr>
                <w:rFonts w:ascii="Calibri" w:hAnsi="Calibri"/>
                <w:color w:val="111827"/>
                <w:sz w:val="18"/>
              </w:rPr>
              <w:t>$365,769</w:t>
            </w:r>
          </w:p>
        </w:tc>
      </w:tr>
      <w:tr>
        <w:trPr>
          <w:cantSplit/>
        </w:trPr>
        <w:tc>
          <w:tcPr>
            <w:tcW w:type="dxa" w:w="2650"/>
            <w:tcMar>
              <w:top w:w="80" w:type="dxa"/>
              <w:start w:w="120" w:type="dxa"/>
              <w:bottom w:w="80" w:type="dxa"/>
              <w:end w:w="120" w:type="dxa"/>
            </w:tcMar>
            <w:vAlign w:val="center"/>
          </w:tcPr>
          <w:p>
            <w:pPr>
              <w:spacing w:before="0" w:after="40" w:line="259" w:lineRule="auto"/>
            </w:pPr>
            <w:r>
              <w:rPr>
                <w:rFonts w:ascii="Calibri" w:hAnsi="Calibri"/>
                <w:color w:val="111827"/>
                <w:sz w:val="18"/>
              </w:rPr>
              <w:t>Berg Demo</w:t>
            </w:r>
          </w:p>
        </w:tc>
        <w:tc>
          <w:tcPr>
            <w:tcW w:type="dxa" w:w="1900"/>
            <w:tcMar>
              <w:top w:w="80" w:type="dxa"/>
              <w:start w:w="120" w:type="dxa"/>
              <w:bottom w:w="80" w:type="dxa"/>
              <w:end w:w="120" w:type="dxa"/>
            </w:tcMar>
            <w:vAlign w:val="center"/>
          </w:tcPr>
          <w:p>
            <w:pPr>
              <w:spacing w:before="0" w:after="40" w:line="259" w:lineRule="auto"/>
            </w:pPr>
            <w:r>
              <w:rPr>
                <w:rFonts w:ascii="Calibri" w:hAnsi="Calibri"/>
                <w:color w:val="111827"/>
                <w:sz w:val="18"/>
              </w:rPr>
              <w:t>$154,826</w:t>
            </w:r>
          </w:p>
        </w:tc>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FULL SCOPE</w:t>
            </w:r>
          </w:p>
        </w:tc>
        <w:tc>
          <w:tcPr>
            <w:tcW w:type="dxa" w:w="2710"/>
            <w:tcMar>
              <w:top w:w="80" w:type="dxa"/>
              <w:start w:w="120" w:type="dxa"/>
              <w:bottom w:w="80" w:type="dxa"/>
              <w:end w:w="120" w:type="dxa"/>
            </w:tcMar>
            <w:vAlign w:val="center"/>
          </w:tcPr>
          <w:p>
            <w:pPr>
              <w:spacing w:before="0" w:after="40" w:line="259" w:lineRule="auto"/>
            </w:pPr>
            <w:r>
              <w:rPr>
                <w:rFonts w:ascii="Calibri" w:hAnsi="Calibri"/>
                <w:color w:val="111827"/>
                <w:sz w:val="18"/>
              </w:rPr>
              <w:t>$157,923</w:t>
            </w:r>
          </w:p>
        </w:tc>
      </w:tr>
      <w:tr>
        <w:trPr>
          <w:cantSplit/>
        </w:trPr>
        <w:tc>
          <w:tcPr>
            <w:tcW w:type="dxa" w:w="2650"/>
            <w:tcMar>
              <w:top w:w="80" w:type="dxa"/>
              <w:start w:w="120" w:type="dxa"/>
              <w:bottom w:w="80" w:type="dxa"/>
              <w:end w:w="120" w:type="dxa"/>
            </w:tcMar>
            <w:vAlign w:val="center"/>
          </w:tcPr>
          <w:p>
            <w:pPr>
              <w:spacing w:before="0" w:after="40" w:line="259" w:lineRule="auto"/>
            </w:pPr>
            <w:r>
              <w:rPr>
                <w:rFonts w:ascii="Calibri" w:hAnsi="Calibri"/>
                <w:color w:val="111827"/>
                <w:sz w:val="18"/>
              </w:rPr>
              <w:t>D&amp;H</w:t>
            </w:r>
          </w:p>
        </w:tc>
        <w:tc>
          <w:tcPr>
            <w:tcW w:type="dxa" w:w="1900"/>
            <w:tcMar>
              <w:top w:w="80" w:type="dxa"/>
              <w:start w:w="120" w:type="dxa"/>
              <w:bottom w:w="80" w:type="dxa"/>
              <w:end w:w="120" w:type="dxa"/>
            </w:tcMar>
            <w:vAlign w:val="center"/>
          </w:tcPr>
          <w:p>
            <w:pPr>
              <w:spacing w:before="0" w:after="40" w:line="259" w:lineRule="auto"/>
            </w:pPr>
            <w:r>
              <w:rPr>
                <w:rFonts w:ascii="Calibri" w:hAnsi="Calibri"/>
                <w:color w:val="111827"/>
                <w:sz w:val="18"/>
              </w:rPr>
              <w:t>$255,000</w:t>
            </w:r>
          </w:p>
        </w:tc>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FULL SCOPE</w:t>
            </w:r>
          </w:p>
        </w:tc>
        <w:tc>
          <w:tcPr>
            <w:tcW w:type="dxa" w:w="2710"/>
            <w:tcMar>
              <w:top w:w="80" w:type="dxa"/>
              <w:start w:w="120" w:type="dxa"/>
              <w:bottom w:w="80" w:type="dxa"/>
              <w:end w:w="120" w:type="dxa"/>
            </w:tcMar>
            <w:vAlign w:val="center"/>
          </w:tcPr>
          <w:p>
            <w:pPr>
              <w:spacing w:before="0" w:after="40" w:line="259" w:lineRule="auto"/>
            </w:pPr>
            <w:r>
              <w:rPr>
                <w:rFonts w:ascii="Calibri" w:hAnsi="Calibri"/>
                <w:color w:val="111827"/>
                <w:sz w:val="18"/>
              </w:rPr>
              <w:t>$260,100</w:t>
            </w:r>
          </w:p>
        </w:tc>
      </w:tr>
      <w:tr>
        <w:trPr>
          <w:cantSplit/>
        </w:trPr>
        <w:tc>
          <w:tcPr>
            <w:tcW w:type="dxa" w:w="2650"/>
            <w:tcMar>
              <w:top w:w="80" w:type="dxa"/>
              <w:start w:w="120" w:type="dxa"/>
              <w:bottom w:w="80" w:type="dxa"/>
              <w:end w:w="120" w:type="dxa"/>
            </w:tcMar>
            <w:vAlign w:val="center"/>
          </w:tcPr>
          <w:p>
            <w:pPr>
              <w:spacing w:before="0" w:after="40" w:line="259" w:lineRule="auto"/>
            </w:pPr>
            <w:r>
              <w:rPr>
                <w:rFonts w:ascii="Calibri" w:hAnsi="Calibri"/>
                <w:color w:val="111827"/>
                <w:sz w:val="18"/>
              </w:rPr>
              <w:t>Rath</w:t>
            </w:r>
          </w:p>
        </w:tc>
        <w:tc>
          <w:tcPr>
            <w:tcW w:type="dxa" w:w="1900"/>
            <w:tcMar>
              <w:top w:w="80" w:type="dxa"/>
              <w:start w:w="120" w:type="dxa"/>
              <w:bottom w:w="80" w:type="dxa"/>
              <w:end w:w="120" w:type="dxa"/>
            </w:tcMar>
            <w:vAlign w:val="center"/>
          </w:tcPr>
          <w:p>
            <w:pPr>
              <w:spacing w:before="0" w:after="40" w:line="259" w:lineRule="auto"/>
            </w:pPr>
            <w:r>
              <w:rPr>
                <w:rFonts w:ascii="Calibri" w:hAnsi="Calibri"/>
                <w:color w:val="111827"/>
                <w:sz w:val="18"/>
              </w:rPr>
              <w:t>$260,000</w:t>
            </w:r>
          </w:p>
        </w:tc>
        <w:tc>
          <w:tcPr>
            <w:tcW w:type="dxa" w:w="2100"/>
            <w:tcMar>
              <w:top w:w="80" w:type="dxa"/>
              <w:start w:w="120" w:type="dxa"/>
              <w:bottom w:w="80" w:type="dxa"/>
              <w:end w:w="120" w:type="dxa"/>
            </w:tcMar>
            <w:vAlign w:val="center"/>
          </w:tcPr>
          <w:p>
            <w:pPr>
              <w:spacing w:before="0" w:after="40" w:line="259" w:lineRule="auto"/>
            </w:pPr>
            <w:r>
              <w:rPr>
                <w:rFonts w:ascii="Calibri" w:hAnsi="Calibri"/>
                <w:color w:val="111827"/>
                <w:sz w:val="18"/>
              </w:rPr>
              <w:t>NO</w:t>
            </w:r>
          </w:p>
        </w:tc>
        <w:tc>
          <w:tcPr>
            <w:tcW w:type="dxa" w:w="2710"/>
            <w:tcMar>
              <w:top w:w="80" w:type="dxa"/>
              <w:start w:w="120" w:type="dxa"/>
              <w:bottom w:w="80" w:type="dxa"/>
              <w:end w:w="120" w:type="dxa"/>
            </w:tcMar>
            <w:vAlign w:val="center"/>
          </w:tcPr>
          <w:p>
            <w:pPr>
              <w:spacing w:before="0" w:after="40" w:line="259" w:lineRule="auto"/>
            </w:pPr>
            <w:r>
              <w:rPr>
                <w:rFonts w:ascii="Calibri" w:hAnsi="Calibri"/>
                <w:color w:val="111827"/>
                <w:sz w:val="18"/>
              </w:rPr>
              <w:t>Not leveled</w:t>
            </w:r>
          </w:p>
        </w:tc>
      </w:tr>
    </w:tbl>
    <w:p>
      <w:pPr>
        <w:spacing w:after="40"/>
      </w:pPr>
    </w:p>
    <w:p>
      <w:r>
        <w:rPr>
          <w:rFonts w:ascii="Calibri" w:hAnsi="Calibri"/>
          <w:color w:val="111827"/>
        </w:rPr>
        <w:t>These values prove the workbook structure and formulas, but the file is not a complete truth set for automatic leveling: several bidder response columns are still blank, and the cached adjustment totals shown above are zero. Therefore, the lowest cached total should not be treated as an award recommendation without the completed scope review.</w:t>
      </w:r>
    </w:p>
    <w:p>
      <w:r>
        <w:br w:type="page"/>
      </w:r>
    </w:p>
    <w:p>
      <w:pPr>
        <w:pStyle w:val="Heading1"/>
      </w:pPr>
      <w:r>
        <w:t>6. Bid leveling with a worked example</w:t>
      </w:r>
    </w:p>
    <w:p>
      <w:r>
        <w:rPr>
          <w:rFonts w:ascii="Calibri" w:hAnsi="Calibri"/>
          <w:color w:val="111827"/>
        </w:rPr>
        <w:t>Bid leveling means converting differently scoped proposals into comparable internal totals. The following example is deliberately simplified and is not taken from the Jelleff bidder results.</w:t>
      </w:r>
    </w:p>
    <w:p>
      <w:pPr>
        <w:pStyle w:val="Heading2"/>
      </w:pPr>
      <w:r>
        <w:t>The required demolition scope</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950"/>
        <w:gridCol w:w="6510"/>
        <w:gridCol w:w="1900"/>
      </w:tblGrid>
      <w:tr>
        <w:trPr>
          <w:tblHeader w:val="true"/>
          <w:cantSplit/>
        </w:trPr>
        <w:tc>
          <w:tcPr>
            <w:tcW w:type="dxa" w:w="95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Item</w:t>
            </w:r>
          </w:p>
        </w:tc>
        <w:tc>
          <w:tcPr>
            <w:tcW w:type="dxa" w:w="651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Master scope</w:t>
            </w:r>
          </w:p>
        </w:tc>
        <w:tc>
          <w:tcPr>
            <w:tcW w:type="dxa" w:w="19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Desired scope</w:t>
            </w:r>
          </w:p>
        </w:tc>
      </w:tr>
      <w:tr>
        <w:trPr>
          <w:cantSplit/>
        </w:trPr>
        <w:tc>
          <w:tcPr>
            <w:tcW w:type="dxa" w:w="950"/>
            <w:tcMar>
              <w:top w:w="80" w:type="dxa"/>
              <w:start w:w="120" w:type="dxa"/>
              <w:bottom w:w="80" w:type="dxa"/>
              <w:end w:w="120" w:type="dxa"/>
            </w:tcMar>
            <w:vAlign w:val="center"/>
          </w:tcPr>
          <w:p>
            <w:pPr>
              <w:spacing w:before="0" w:after="40" w:line="259" w:lineRule="auto"/>
            </w:pPr>
            <w:r>
              <w:rPr>
                <w:rFonts w:ascii="Calibri" w:hAnsi="Calibri"/>
                <w:color w:val="111827"/>
                <w:sz w:val="18"/>
              </w:rPr>
              <w:t>1</w:t>
            </w:r>
          </w:p>
        </w:tc>
        <w:tc>
          <w:tcPr>
            <w:tcW w:type="dxa" w:w="6510"/>
            <w:tcMar>
              <w:top w:w="80" w:type="dxa"/>
              <w:start w:w="120" w:type="dxa"/>
              <w:bottom w:w="80" w:type="dxa"/>
              <w:end w:w="120" w:type="dxa"/>
            </w:tcMar>
            <w:vAlign w:val="center"/>
          </w:tcPr>
          <w:p>
            <w:pPr>
              <w:spacing w:before="0" w:after="40" w:line="259" w:lineRule="auto"/>
            </w:pPr>
            <w:r>
              <w:rPr>
                <w:rFonts w:ascii="Calibri" w:hAnsi="Calibri"/>
                <w:color w:val="111827"/>
                <w:sz w:val="18"/>
              </w:rPr>
              <w:t>Demolish existing building structure</w:t>
            </w:r>
          </w:p>
        </w:tc>
        <w:tc>
          <w:tcPr>
            <w:tcW w:type="dxa" w:w="1900"/>
            <w:tcMar>
              <w:top w:w="80" w:type="dxa"/>
              <w:start w:w="120" w:type="dxa"/>
              <w:bottom w:w="80" w:type="dxa"/>
              <w:end w:w="120" w:type="dxa"/>
            </w:tcMar>
            <w:vAlign w:val="center"/>
          </w:tcPr>
          <w:p>
            <w:pPr>
              <w:spacing w:before="0" w:after="40" w:line="259" w:lineRule="auto"/>
            </w:pPr>
            <w:r>
              <w:rPr>
                <w:rFonts w:ascii="Calibri" w:hAnsi="Calibri"/>
                <w:color w:val="111827"/>
                <w:sz w:val="18"/>
              </w:rPr>
              <w:t>Required</w:t>
            </w:r>
          </w:p>
        </w:tc>
      </w:tr>
      <w:tr>
        <w:trPr>
          <w:cantSplit/>
        </w:trPr>
        <w:tc>
          <w:tcPr>
            <w:tcW w:type="dxa" w:w="950"/>
            <w:tcMar>
              <w:top w:w="80" w:type="dxa"/>
              <w:start w:w="120" w:type="dxa"/>
              <w:bottom w:w="80" w:type="dxa"/>
              <w:end w:w="120" w:type="dxa"/>
            </w:tcMar>
            <w:vAlign w:val="center"/>
          </w:tcPr>
          <w:p>
            <w:pPr>
              <w:spacing w:before="0" w:after="40" w:line="259" w:lineRule="auto"/>
            </w:pPr>
            <w:r>
              <w:rPr>
                <w:rFonts w:ascii="Calibri" w:hAnsi="Calibri"/>
                <w:color w:val="111827"/>
                <w:sz w:val="18"/>
              </w:rPr>
              <w:t>2</w:t>
            </w:r>
          </w:p>
        </w:tc>
        <w:tc>
          <w:tcPr>
            <w:tcW w:type="dxa" w:w="6510"/>
            <w:tcMar>
              <w:top w:w="80" w:type="dxa"/>
              <w:start w:w="120" w:type="dxa"/>
              <w:bottom w:w="80" w:type="dxa"/>
              <w:end w:w="120" w:type="dxa"/>
            </w:tcMar>
            <w:vAlign w:val="center"/>
          </w:tcPr>
          <w:p>
            <w:pPr>
              <w:spacing w:before="0" w:after="40" w:line="259" w:lineRule="auto"/>
            </w:pPr>
            <w:r>
              <w:rPr>
                <w:rFonts w:ascii="Calibri" w:hAnsi="Calibri"/>
                <w:color w:val="111827"/>
                <w:sz w:val="18"/>
              </w:rPr>
              <w:t>Remove foundations and footings</w:t>
            </w:r>
          </w:p>
        </w:tc>
        <w:tc>
          <w:tcPr>
            <w:tcW w:type="dxa" w:w="1900"/>
            <w:tcMar>
              <w:top w:w="80" w:type="dxa"/>
              <w:start w:w="120" w:type="dxa"/>
              <w:bottom w:w="80" w:type="dxa"/>
              <w:end w:w="120" w:type="dxa"/>
            </w:tcMar>
            <w:vAlign w:val="center"/>
          </w:tcPr>
          <w:p>
            <w:pPr>
              <w:spacing w:before="0" w:after="40" w:line="259" w:lineRule="auto"/>
            </w:pPr>
            <w:r>
              <w:rPr>
                <w:rFonts w:ascii="Calibri" w:hAnsi="Calibri"/>
                <w:color w:val="111827"/>
                <w:sz w:val="18"/>
              </w:rPr>
              <w:t>Required</w:t>
            </w:r>
          </w:p>
        </w:tc>
      </w:tr>
      <w:tr>
        <w:trPr>
          <w:cantSplit/>
        </w:trPr>
        <w:tc>
          <w:tcPr>
            <w:tcW w:type="dxa" w:w="950"/>
            <w:tcMar>
              <w:top w:w="80" w:type="dxa"/>
              <w:start w:w="120" w:type="dxa"/>
              <w:bottom w:w="80" w:type="dxa"/>
              <w:end w:w="120" w:type="dxa"/>
            </w:tcMar>
            <w:vAlign w:val="center"/>
          </w:tcPr>
          <w:p>
            <w:pPr>
              <w:spacing w:before="0" w:after="40" w:line="259" w:lineRule="auto"/>
            </w:pPr>
            <w:r>
              <w:rPr>
                <w:rFonts w:ascii="Calibri" w:hAnsi="Calibri"/>
                <w:color w:val="111827"/>
                <w:sz w:val="18"/>
              </w:rPr>
              <w:t>3</w:t>
            </w:r>
          </w:p>
        </w:tc>
        <w:tc>
          <w:tcPr>
            <w:tcW w:type="dxa" w:w="6510"/>
            <w:tcMar>
              <w:top w:w="80" w:type="dxa"/>
              <w:start w:w="120" w:type="dxa"/>
              <w:bottom w:w="80" w:type="dxa"/>
              <w:end w:w="120" w:type="dxa"/>
            </w:tcMar>
            <w:vAlign w:val="center"/>
          </w:tcPr>
          <w:p>
            <w:pPr>
              <w:spacing w:before="0" w:after="40" w:line="259" w:lineRule="auto"/>
            </w:pPr>
            <w:r>
              <w:rPr>
                <w:rFonts w:ascii="Calibri" w:hAnsi="Calibri"/>
                <w:color w:val="111827"/>
                <w:sz w:val="18"/>
              </w:rPr>
              <w:t>Haul and legally dispose of debris</w:t>
            </w:r>
          </w:p>
        </w:tc>
        <w:tc>
          <w:tcPr>
            <w:tcW w:type="dxa" w:w="1900"/>
            <w:tcMar>
              <w:top w:w="80" w:type="dxa"/>
              <w:start w:w="120" w:type="dxa"/>
              <w:bottom w:w="80" w:type="dxa"/>
              <w:end w:w="120" w:type="dxa"/>
            </w:tcMar>
            <w:vAlign w:val="center"/>
          </w:tcPr>
          <w:p>
            <w:pPr>
              <w:spacing w:before="0" w:after="40" w:line="259" w:lineRule="auto"/>
            </w:pPr>
            <w:r>
              <w:rPr>
                <w:rFonts w:ascii="Calibri" w:hAnsi="Calibri"/>
                <w:color w:val="111827"/>
                <w:sz w:val="18"/>
              </w:rPr>
              <w:t>Required</w:t>
            </w:r>
          </w:p>
        </w:tc>
      </w:tr>
    </w:tbl>
    <w:p>
      <w:pPr>
        <w:spacing w:after="40"/>
      </w:pPr>
    </w:p>
    <w:p>
      <w:pPr>
        <w:pStyle w:val="Heading2"/>
      </w:pPr>
      <w:r>
        <w:t>Two proposals arrive</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3200"/>
        <w:gridCol w:w="3080"/>
        <w:gridCol w:w="3080"/>
      </w:tblGrid>
      <w:tr>
        <w:trPr>
          <w:tblHeader w:val="true"/>
          <w:cantSplit/>
        </w:trPr>
        <w:tc>
          <w:tcPr>
            <w:tcW w:type="dxa" w:w="32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Comparison</w:t>
            </w:r>
          </w:p>
        </w:tc>
        <w:tc>
          <w:tcPr>
            <w:tcW w:type="dxa" w:w="308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Bidder A</w:t>
            </w:r>
          </w:p>
        </w:tc>
        <w:tc>
          <w:tcPr>
            <w:tcW w:type="dxa" w:w="308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Bidder B</w:t>
            </w:r>
          </w:p>
        </w:tc>
      </w:tr>
      <w:tr>
        <w:trPr>
          <w:cantSplit/>
        </w:trPr>
        <w:tc>
          <w:tcPr>
            <w:tcW w:type="dxa" w:w="3200"/>
            <w:tcMar>
              <w:top w:w="80" w:type="dxa"/>
              <w:start w:w="120" w:type="dxa"/>
              <w:bottom w:w="80" w:type="dxa"/>
              <w:end w:w="120" w:type="dxa"/>
            </w:tcMar>
            <w:vAlign w:val="center"/>
          </w:tcPr>
          <w:p>
            <w:pPr>
              <w:spacing w:before="0" w:after="40" w:line="259" w:lineRule="auto"/>
            </w:pPr>
            <w:r>
              <w:rPr>
                <w:rFonts w:ascii="Calibri" w:hAnsi="Calibri"/>
                <w:color w:val="111827"/>
                <w:sz w:val="18"/>
              </w:rPr>
              <w:t>Base bid</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$290,000</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$240,000</w:t>
            </w:r>
          </w:p>
        </w:tc>
      </w:tr>
      <w:tr>
        <w:trPr>
          <w:cantSplit/>
        </w:trPr>
        <w:tc>
          <w:tcPr>
            <w:tcW w:type="dxa" w:w="3200"/>
            <w:tcMar>
              <w:top w:w="80" w:type="dxa"/>
              <w:start w:w="120" w:type="dxa"/>
              <w:bottom w:w="80" w:type="dxa"/>
              <w:end w:w="120" w:type="dxa"/>
            </w:tcMar>
            <w:vAlign w:val="center"/>
          </w:tcPr>
          <w:p>
            <w:pPr>
              <w:spacing w:before="0" w:after="40" w:line="259" w:lineRule="auto"/>
            </w:pPr>
            <w:r>
              <w:rPr>
                <w:rFonts w:ascii="Calibri" w:hAnsi="Calibri"/>
                <w:color w:val="111827"/>
                <w:sz w:val="18"/>
              </w:rPr>
              <w:t>Building demolition</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Y</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Y</w:t>
            </w:r>
          </w:p>
        </w:tc>
      </w:tr>
      <w:tr>
        <w:trPr>
          <w:cantSplit/>
        </w:trPr>
        <w:tc>
          <w:tcPr>
            <w:tcW w:type="dxa" w:w="3200"/>
            <w:tcMar>
              <w:top w:w="80" w:type="dxa"/>
              <w:start w:w="120" w:type="dxa"/>
              <w:bottom w:w="80" w:type="dxa"/>
              <w:end w:w="120" w:type="dxa"/>
            </w:tcMar>
            <w:vAlign w:val="center"/>
          </w:tcPr>
          <w:p>
            <w:pPr>
              <w:spacing w:before="0" w:after="40" w:line="259" w:lineRule="auto"/>
            </w:pPr>
            <w:r>
              <w:rPr>
                <w:rFonts w:ascii="Calibri" w:hAnsi="Calibri"/>
                <w:color w:val="111827"/>
                <w:sz w:val="18"/>
              </w:rPr>
              <w:t>Foundations and footings</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Y</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N — excluded</w:t>
            </w:r>
          </w:p>
        </w:tc>
      </w:tr>
      <w:tr>
        <w:trPr>
          <w:cantSplit/>
        </w:trPr>
        <w:tc>
          <w:tcPr>
            <w:tcW w:type="dxa" w:w="3200"/>
            <w:tcMar>
              <w:top w:w="80" w:type="dxa"/>
              <w:start w:w="120" w:type="dxa"/>
              <w:bottom w:w="80" w:type="dxa"/>
              <w:end w:w="120" w:type="dxa"/>
            </w:tcMar>
            <w:vAlign w:val="center"/>
          </w:tcPr>
          <w:p>
            <w:pPr>
              <w:spacing w:before="0" w:after="40" w:line="259" w:lineRule="auto"/>
            </w:pPr>
            <w:r>
              <w:rPr>
                <w:rFonts w:ascii="Calibri" w:hAnsi="Calibri"/>
                <w:color w:val="111827"/>
                <w:sz w:val="18"/>
              </w:rPr>
              <w:t>Haul and disposal</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Y</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P — hauling only</w:t>
            </w:r>
          </w:p>
        </w:tc>
      </w:tr>
      <w:tr>
        <w:trPr>
          <w:cantSplit/>
        </w:trPr>
        <w:tc>
          <w:tcPr>
            <w:tcW w:type="dxa" w:w="3200"/>
            <w:tcMar>
              <w:top w:w="80" w:type="dxa"/>
              <w:start w:w="120" w:type="dxa"/>
              <w:bottom w:w="80" w:type="dxa"/>
              <w:end w:w="120" w:type="dxa"/>
            </w:tcMar>
            <w:vAlign w:val="center"/>
          </w:tcPr>
          <w:p>
            <w:pPr>
              <w:spacing w:before="0" w:after="40" w:line="259" w:lineRule="auto"/>
            </w:pPr>
            <w:r>
              <w:rPr>
                <w:rFonts w:ascii="Calibri" w:hAnsi="Calibri"/>
                <w:color w:val="111827"/>
                <w:sz w:val="18"/>
              </w:rPr>
              <w:t>Internal adjustment</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$0</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+$50,000</w:t>
            </w:r>
          </w:p>
        </w:tc>
      </w:tr>
      <w:tr>
        <w:trPr>
          <w:cantSplit/>
        </w:trPr>
        <w:tc>
          <w:tcPr>
            <w:tcW w:type="dxa" w:w="3200"/>
            <w:tcMar>
              <w:top w:w="80" w:type="dxa"/>
              <w:start w:w="120" w:type="dxa"/>
              <w:bottom w:w="80" w:type="dxa"/>
              <w:end w:w="120" w:type="dxa"/>
            </w:tcMar>
            <w:vAlign w:val="center"/>
          </w:tcPr>
          <w:p>
            <w:pPr>
              <w:spacing w:before="0" w:after="40" w:line="259" w:lineRule="auto"/>
            </w:pPr>
            <w:r>
              <w:rPr>
                <w:rFonts w:ascii="Calibri" w:hAnsi="Calibri"/>
                <w:color w:val="111827"/>
                <w:sz w:val="18"/>
              </w:rPr>
              <w:t>Subtotal before bond</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$290,000</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$290,000</w:t>
            </w:r>
          </w:p>
        </w:tc>
      </w:tr>
      <w:tr>
        <w:trPr>
          <w:cantSplit/>
        </w:trPr>
        <w:tc>
          <w:tcPr>
            <w:tcW w:type="dxa" w:w="3200"/>
            <w:tcMar>
              <w:top w:w="80" w:type="dxa"/>
              <w:start w:w="120" w:type="dxa"/>
              <w:bottom w:w="80" w:type="dxa"/>
              <w:end w:w="120" w:type="dxa"/>
            </w:tcMar>
            <w:vAlign w:val="center"/>
          </w:tcPr>
          <w:p>
            <w:pPr>
              <w:spacing w:before="0" w:after="40" w:line="259" w:lineRule="auto"/>
            </w:pPr>
            <w:r>
              <w:rPr>
                <w:rFonts w:ascii="Calibri" w:hAnsi="Calibri"/>
                <w:color w:val="111827"/>
                <w:sz w:val="18"/>
              </w:rPr>
              <w:t>2% bond</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$5,800</w:t>
            </w:r>
          </w:p>
        </w:tc>
        <w:tc>
          <w:tcPr>
            <w:tcW w:type="dxa" w:w="3080"/>
            <w:tcMar>
              <w:top w:w="80" w:type="dxa"/>
              <w:start w:w="120" w:type="dxa"/>
              <w:bottom w:w="80" w:type="dxa"/>
              <w:end w:w="120" w:type="dxa"/>
            </w:tcMar>
            <w:vAlign w:val="center"/>
          </w:tcPr>
          <w:p>
            <w:pPr>
              <w:spacing w:before="0" w:after="40" w:line="259" w:lineRule="auto"/>
            </w:pPr>
            <w:r>
              <w:rPr>
                <w:rFonts w:ascii="Calibri" w:hAnsi="Calibri"/>
                <w:color w:val="111827"/>
                <w:sz w:val="18"/>
              </w:rPr>
              <w:t>$5,800</w:t>
            </w:r>
          </w:p>
        </w:tc>
      </w:tr>
      <w:tr>
        <w:trPr>
          <w:cantSplit/>
        </w:trPr>
        <w:tc>
          <w:tcPr>
            <w:tcW w:type="dxa" w:w="320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Leveled total</w:t>
            </w:r>
          </w:p>
        </w:tc>
        <w:tc>
          <w:tcPr>
            <w:tcW w:type="dxa" w:w="308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$295,800</w:t>
            </w:r>
          </w:p>
        </w:tc>
        <w:tc>
          <w:tcPr>
            <w:tcW w:type="dxa" w:w="3080"/>
            <w:tcMar>
              <w:top w:w="80" w:type="dxa"/>
              <w:start w:w="120" w:type="dxa"/>
              <w:bottom w:w="80" w:type="dxa"/>
              <w:end w:w="120" w:type="dxa"/>
            </w:tcMar>
            <w:vAlign w:val="center"/>
            <w:shd w:fill="E8EEF5"/>
          </w:tcPr>
          <w:p>
            <w:pPr>
              <w:spacing w:before="0" w:after="40" w:line="259" w:lineRule="auto"/>
            </w:pPr>
            <w:r>
              <w:rPr>
                <w:rFonts w:ascii="Calibri" w:hAnsi="Calibri"/>
                <w:b/>
                <w:color w:val="0B2545"/>
                <w:sz w:val="18"/>
              </w:rPr>
              <w:t>$295,800</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F26B2B"/>
          <w:left w:val="single" w:sz="10" w:space="0" w:color="F26B2B"/>
          <w:bottom w:val="single" w:sz="10" w:space="0" w:color="F26B2B"/>
          <w:right w:val="single" w:sz="10" w:space="0" w:color="F26B2B"/>
          <w:insideH w:val="single" w:sz="10" w:space="0" w:color="F26B2B"/>
          <w:insideV w:val="single" w:sz="10" w:space="0" w:color="F26B2B"/>
        </w:tblBorders>
      </w:tblPr>
      <w:tblGrid>
        <w:gridCol w:w="9360"/>
      </w:tblGrid>
      <w:tr>
        <w:tc>
          <w:tcPr>
            <w:tcW w:type="dxa" w:w="9360"/>
            <w:shd w:fill="F4F6F9"/>
            <w:tcMar>
              <w:top w:w="80" w:type="dxa"/>
              <w:start w:w="120" w:type="dxa"/>
              <w:bottom w:w="80" w:type="dxa"/>
              <w:end w:w="120" w:type="dxa"/>
            </w:tcMar>
          </w:tcPr>
          <w:p>
            <w:pPr>
              <w:spacing w:after="0"/>
            </w:pPr>
            <w:r/>
            <w:r>
              <w:rPr>
                <w:rFonts w:ascii="Calibri" w:hAnsi="Calibri"/>
                <w:b/>
                <w:color w:val="F26B2B"/>
                <w:sz w:val="21"/>
              </w:rPr>
              <w:t xml:space="preserve">THE LESSON  </w:t>
            </w:r>
            <w:r>
              <w:rPr>
                <w:rFonts w:ascii="Calibri" w:hAnsi="Calibri"/>
                <w:color w:val="111827"/>
                <w:sz w:val="21"/>
              </w:rPr>
              <w:t>Bidder B looked $50,000 cheaper, but only because important work was missing. After leveling, both bids cost the GC the same amount.</w:t>
            </w:r>
          </w:p>
        </w:tc>
      </w:tr>
    </w:tbl>
    <w:p>
      <w:pPr>
        <w:spacing w:after="20"/>
      </w:pPr>
    </w:p>
    <w:p>
      <w:pPr>
        <w:pStyle w:val="Heading2"/>
      </w:pPr>
      <w:r>
        <w:t>The formula in Marcel's template</w:t>
      </w:r>
    </w:p>
    <w:p>
      <w:pPr>
        <w:spacing w:before="120" w:after="200"/>
        <w:jc w:val="center"/>
      </w:pPr>
      <w:r>
        <w:rPr>
          <w:rFonts w:ascii="Calibri" w:hAnsi="Calibri"/>
          <w:b/>
          <w:color w:val="0B2545"/>
          <w:sz w:val="28"/>
        </w:rPr>
        <w:t>Leveled total = (Base bid + Approved adjustments) × 1.02</w:t>
      </w:r>
    </w:p>
    <w:p>
      <w:r>
        <w:rPr>
          <w:rFonts w:ascii="Calibri" w:hAnsi="Calibri"/>
          <w:color w:val="111827"/>
        </w:rPr>
        <w:t>The 1.02 factor represents the workbook's 2% bond. Other companies or projects may use different rules, so the percentage must be a visible project setting—not hard-coded into the future product.</w:t>
      </w:r>
    </w:p>
    <w:p>
      <w:pPr>
        <w:pStyle w:val="Heading2"/>
      </w:pPr>
      <w:r>
        <w:t>Why the lowest bid does not automatically win</w:t>
      </w:r>
    </w:p>
    <w:p>
      <w:pPr>
        <w:spacing w:after="80" w:line="300" w:lineRule="auto"/>
        <w:ind w:left="540" w:hanging="271"/>
        <w:numPr>
          <w:ilvl w:val="0"/>
          <w:numId w:val="50"/>
        </w:numPr>
      </w:pPr>
      <w:r>
        <w:rPr>
          <w:rFonts w:ascii="Calibri" w:hAnsi="Calibri"/>
          <w:color w:val="111827"/>
        </w:rPr>
        <w:t>The low bidder may have exclusions or qualifications.</w:t>
      </w:r>
    </w:p>
    <w:p>
      <w:pPr>
        <w:spacing w:after="80" w:line="300" w:lineRule="auto"/>
        <w:ind w:left="540" w:hanging="271"/>
        <w:numPr>
          <w:ilvl w:val="0"/>
          <w:numId w:val="50"/>
        </w:numPr>
      </w:pPr>
      <w:r>
        <w:rPr>
          <w:rFonts w:ascii="Calibri" w:hAnsi="Calibri"/>
          <w:color w:val="111827"/>
        </w:rPr>
        <w:t>The bidder may lack capacity, manpower, schedule availability, bonding, or relevant experience.</w:t>
      </w:r>
    </w:p>
    <w:p>
      <w:pPr>
        <w:spacing w:after="80" w:line="300" w:lineRule="auto"/>
        <w:ind w:left="540" w:hanging="271"/>
        <w:numPr>
          <w:ilvl w:val="0"/>
          <w:numId w:val="50"/>
        </w:numPr>
      </w:pPr>
      <w:r>
        <w:rPr>
          <w:rFonts w:ascii="Calibri" w:hAnsi="Calibri"/>
          <w:color w:val="111827"/>
        </w:rPr>
        <w:t>The scope may still be ambiguous or dependent on an unanswered RFI.</w:t>
      </w:r>
    </w:p>
    <w:p>
      <w:pPr>
        <w:spacing w:after="80" w:line="300" w:lineRule="auto"/>
        <w:ind w:left="540" w:hanging="271"/>
        <w:numPr>
          <w:ilvl w:val="0"/>
          <w:numId w:val="50"/>
        </w:numPr>
      </w:pPr>
      <w:r>
        <w:rPr>
          <w:rFonts w:ascii="Calibri" w:hAnsi="Calibri"/>
          <w:color w:val="111827"/>
        </w:rPr>
        <w:t>The estimator may prefer a slightly higher bidder with a cleaner and more reliable proposal.</w:t>
      </w:r>
    </w:p>
    <w:p>
      <w:pPr>
        <w:spacing w:after="80" w:line="300" w:lineRule="auto"/>
        <w:ind w:left="540" w:hanging="271"/>
        <w:numPr>
          <w:ilvl w:val="0"/>
          <w:numId w:val="50"/>
        </w:numPr>
      </w:pPr>
      <w:r>
        <w:rPr>
          <w:rFonts w:ascii="Calibri" w:hAnsi="Calibri"/>
          <w:color w:val="111827"/>
        </w:rPr>
        <w:t>The final award must reflect scope-review and commercial negotiations, not only a rank formula.</w:t>
      </w:r>
    </w:p>
    <w:p>
      <w:r>
        <w:br w:type="page"/>
      </w:r>
    </w:p>
    <w:p>
      <w:pPr>
        <w:pStyle w:val="Heading1"/>
      </w:pPr>
      <w:r>
        <w:t>7. What is manual, what Excel already automates, and what Structor should automate</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400"/>
        <w:gridCol w:w="3000"/>
        <w:gridCol w:w="3960"/>
      </w:tblGrid>
      <w:tr>
        <w:trPr>
          <w:tblHeader w:val="true"/>
          <w:cantSplit/>
        </w:trPr>
        <w:tc>
          <w:tcPr>
            <w:tcW w:type="dxa" w:w="24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Activity</w:t>
            </w:r>
          </w:p>
        </w:tc>
        <w:tc>
          <w:tcPr>
            <w:tcW w:type="dxa" w:w="30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Today</w:t>
            </w:r>
          </w:p>
        </w:tc>
        <w:tc>
          <w:tcPr>
            <w:tcW w:type="dxa" w:w="39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Future Structor behavior</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Read drawings/specifications</w:t>
            </w:r>
          </w:p>
        </w:tc>
        <w:tc>
          <w:tcPr>
            <w:tcW w:type="dxa" w:w="3000"/>
            <w:tcMar>
              <w:top w:w="80" w:type="dxa"/>
              <w:start w:w="120" w:type="dxa"/>
              <w:bottom w:w="80" w:type="dxa"/>
              <w:end w:w="120" w:type="dxa"/>
            </w:tcMar>
            <w:vAlign w:val="center"/>
          </w:tcPr>
          <w:p>
            <w:pPr>
              <w:spacing w:before="0" w:after="40" w:line="259" w:lineRule="auto"/>
            </w:pPr>
            <w:r>
              <w:rPr>
                <w:rFonts w:ascii="Calibri" w:hAnsi="Calibri"/>
                <w:color w:val="111827"/>
                <w:sz w:val="18"/>
              </w:rPr>
              <w:t>Manual specialist review; Wyre AI used as reference tool</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Draft trade scopes with page/detail/spec citations.</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Write scope rows</w:t>
            </w:r>
          </w:p>
        </w:tc>
        <w:tc>
          <w:tcPr>
            <w:tcW w:type="dxa" w:w="3000"/>
            <w:tcMar>
              <w:top w:w="80" w:type="dxa"/>
              <w:start w:w="120" w:type="dxa"/>
              <w:bottom w:w="80" w:type="dxa"/>
              <w:end w:w="120" w:type="dxa"/>
            </w:tcMar>
            <w:vAlign w:val="center"/>
          </w:tcPr>
          <w:p>
            <w:pPr>
              <w:spacing w:before="0" w:after="40" w:line="259" w:lineRule="auto"/>
            </w:pPr>
            <w:r>
              <w:rPr>
                <w:rFonts w:ascii="Calibri" w:hAnsi="Calibri"/>
                <w:color w:val="111827"/>
                <w:sz w:val="18"/>
              </w:rPr>
              <w:t>Estimator writes or edits Excel/PDF scope</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Suggest project-specific and library-based rows; human approves.</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Enter bidder/contact/base bid</w:t>
            </w:r>
          </w:p>
        </w:tc>
        <w:tc>
          <w:tcPr>
            <w:tcW w:type="dxa" w:w="3000"/>
            <w:tcMar>
              <w:top w:w="80" w:type="dxa"/>
              <w:start w:w="120" w:type="dxa"/>
              <w:bottom w:w="80" w:type="dxa"/>
              <w:end w:w="120" w:type="dxa"/>
            </w:tcMar>
            <w:vAlign w:val="center"/>
          </w:tcPr>
          <w:p>
            <w:pPr>
              <w:spacing w:before="0" w:after="40" w:line="259" w:lineRule="auto"/>
            </w:pPr>
            <w:r>
              <w:rPr>
                <w:rFonts w:ascii="Calibri" w:hAnsi="Calibri"/>
                <w:color w:val="111827"/>
                <w:sz w:val="18"/>
              </w:rPr>
              <w:t>Typed from email and proposal</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Extract from uploaded proposal or dedicated bid inbox.</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Mark Y/N/P</w:t>
            </w:r>
          </w:p>
        </w:tc>
        <w:tc>
          <w:tcPr>
            <w:tcW w:type="dxa" w:w="3000"/>
            <w:tcMar>
              <w:top w:w="80" w:type="dxa"/>
              <w:start w:w="120" w:type="dxa"/>
              <w:bottom w:w="80" w:type="dxa"/>
              <w:end w:w="120" w:type="dxa"/>
            </w:tcMar>
            <w:vAlign w:val="center"/>
          </w:tcPr>
          <w:p>
            <w:pPr>
              <w:spacing w:before="0" w:after="40" w:line="259" w:lineRule="auto"/>
            </w:pPr>
            <w:r>
              <w:rPr>
                <w:rFonts w:ascii="Calibri" w:hAnsi="Calibri"/>
                <w:color w:val="111827"/>
                <w:sz w:val="18"/>
              </w:rPr>
              <w:t>Estimator reads proposal row by row</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AI drafts status with exact proposal evidence; human confirms.</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Write notes</w:t>
            </w:r>
          </w:p>
        </w:tc>
        <w:tc>
          <w:tcPr>
            <w:tcW w:type="dxa" w:w="3000"/>
            <w:tcMar>
              <w:top w:w="80" w:type="dxa"/>
              <w:start w:w="120" w:type="dxa"/>
              <w:bottom w:w="80" w:type="dxa"/>
              <w:end w:w="120" w:type="dxa"/>
            </w:tcMar>
            <w:vAlign w:val="center"/>
          </w:tcPr>
          <w:p>
            <w:pPr>
              <w:spacing w:before="0" w:after="40" w:line="259" w:lineRule="auto"/>
            </w:pPr>
            <w:r>
              <w:rPr>
                <w:rFonts w:ascii="Calibri" w:hAnsi="Calibri"/>
                <w:color w:val="111827"/>
                <w:sz w:val="18"/>
              </w:rPr>
              <w:t>Manual</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Draft concise note from proposal exclusion or qualification.</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Estimate adjustment</w:t>
            </w:r>
          </w:p>
        </w:tc>
        <w:tc>
          <w:tcPr>
            <w:tcW w:type="dxa" w:w="3000"/>
            <w:tcMar>
              <w:top w:w="80" w:type="dxa"/>
              <w:start w:w="120" w:type="dxa"/>
              <w:bottom w:w="80" w:type="dxa"/>
              <w:end w:w="120" w:type="dxa"/>
            </w:tcMar>
            <w:vAlign w:val="center"/>
          </w:tcPr>
          <w:p>
            <w:pPr>
              <w:spacing w:before="0" w:after="40" w:line="259" w:lineRule="auto"/>
            </w:pPr>
            <w:r>
              <w:rPr>
                <w:rFonts w:ascii="Calibri" w:hAnsi="Calibri"/>
                <w:color w:val="111827"/>
                <w:sz w:val="18"/>
              </w:rPr>
              <w:t>Estimator judgment</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Suggest quantity × unit rate or historical allowance; require approval.</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Bond, total, rank</w:t>
            </w:r>
          </w:p>
        </w:tc>
        <w:tc>
          <w:tcPr>
            <w:tcW w:type="dxa" w:w="3000"/>
            <w:tcMar>
              <w:top w:w="80" w:type="dxa"/>
              <w:start w:w="120" w:type="dxa"/>
              <w:bottom w:w="80" w:type="dxa"/>
              <w:end w:w="120" w:type="dxa"/>
            </w:tcMar>
            <w:vAlign w:val="center"/>
          </w:tcPr>
          <w:p>
            <w:pPr>
              <w:spacing w:before="0" w:after="40" w:line="259" w:lineRule="auto"/>
            </w:pPr>
            <w:r>
              <w:rPr>
                <w:rFonts w:ascii="Calibri" w:hAnsi="Calibri"/>
                <w:color w:val="111827"/>
                <w:sz w:val="18"/>
              </w:rPr>
              <w:t>Excel formulas</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Deterministic calculation service using visible project rules.</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Update Bid Sheet / summary</w:t>
            </w:r>
          </w:p>
        </w:tc>
        <w:tc>
          <w:tcPr>
            <w:tcW w:type="dxa" w:w="3000"/>
            <w:tcMar>
              <w:top w:w="80" w:type="dxa"/>
              <w:start w:w="120" w:type="dxa"/>
              <w:bottom w:w="80" w:type="dxa"/>
              <w:end w:w="120" w:type="dxa"/>
            </w:tcMar>
            <w:vAlign w:val="center"/>
          </w:tcPr>
          <w:p>
            <w:pPr>
              <w:spacing w:before="0" w:after="40" w:line="259" w:lineRule="auto"/>
            </w:pPr>
            <w:r>
              <w:rPr>
                <w:rFonts w:ascii="Calibri" w:hAnsi="Calibri"/>
                <w:color w:val="111827"/>
                <w:sz w:val="18"/>
              </w:rPr>
              <w:t>Linked cells and manual review</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Automatic approved roll-up with audit trail.</w:t>
            </w:r>
          </w:p>
        </w:tc>
      </w:tr>
      <w:tr>
        <w:trPr>
          <w:cantSplit/>
        </w:trPr>
        <w:tc>
          <w:tcPr>
            <w:tcW w:type="dxa" w:w="2400"/>
            <w:tcMar>
              <w:top w:w="80" w:type="dxa"/>
              <w:start w:w="120" w:type="dxa"/>
              <w:bottom w:w="80" w:type="dxa"/>
              <w:end w:w="120" w:type="dxa"/>
            </w:tcMar>
            <w:vAlign w:val="center"/>
          </w:tcPr>
          <w:p>
            <w:pPr>
              <w:spacing w:before="0" w:after="40" w:line="259" w:lineRule="auto"/>
            </w:pPr>
            <w:r>
              <w:rPr>
                <w:rFonts w:ascii="Calibri" w:hAnsi="Calibri"/>
                <w:color w:val="111827"/>
                <w:sz w:val="18"/>
              </w:rPr>
              <w:t>Create Exhibit A</w:t>
            </w:r>
          </w:p>
        </w:tc>
        <w:tc>
          <w:tcPr>
            <w:tcW w:type="dxa" w:w="3000"/>
            <w:tcMar>
              <w:top w:w="80" w:type="dxa"/>
              <w:start w:w="120" w:type="dxa"/>
              <w:bottom w:w="80" w:type="dxa"/>
              <w:end w:w="120" w:type="dxa"/>
            </w:tcMar>
            <w:vAlign w:val="center"/>
          </w:tcPr>
          <w:p>
            <w:pPr>
              <w:spacing w:before="0" w:after="40" w:line="259" w:lineRule="auto"/>
            </w:pPr>
            <w:r>
              <w:rPr>
                <w:rFonts w:ascii="Calibri" w:hAnsi="Calibri"/>
                <w:color w:val="111827"/>
                <w:sz w:val="18"/>
              </w:rPr>
              <w:t>Copy/rewrite approved scope</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111827"/>
                <w:sz w:val="18"/>
              </w:rPr>
              <w:t>Generate from approved scope and project template; legal review required.</w:t>
            </w:r>
          </w:p>
        </w:tc>
      </w:tr>
    </w:tbl>
    <w:p>
      <w:pPr>
        <w:spacing w:after="40"/>
      </w:pPr>
    </w:p>
    <w:p>
      <w:pPr>
        <w:pStyle w:val="Heading2"/>
      </w:pPr>
      <w:r>
        <w:t>The key insight</w:t>
      </w:r>
    </w:p>
    <w:tbl>
      <w:tblPr>
        <w:tblW w:type="dxa" w:w="9360"/>
        <w:jc w:val="left"/>
        <w:tblLayout w:type="fixed"/>
        <w:tblLook w:firstColumn="1" w:firstRow="1" w:lastColumn="0" w:lastRow="0" w:noHBand="0" w:noVBand="1" w:val="04A0"/>
        <w:tblInd w:w="120" w:type="dxa"/>
        <w:tblBorders>
          <w:top w:val="single" w:sz="10" w:space="0" w:color="F26B2B"/>
          <w:left w:val="single" w:sz="10" w:space="0" w:color="F26B2B"/>
          <w:bottom w:val="single" w:sz="10" w:space="0" w:color="F26B2B"/>
          <w:right w:val="single" w:sz="10" w:space="0" w:color="F26B2B"/>
          <w:insideH w:val="single" w:sz="10" w:space="0" w:color="F26B2B"/>
          <w:insideV w:val="single" w:sz="10" w:space="0" w:color="F26B2B"/>
        </w:tblBorders>
      </w:tblPr>
      <w:tblGrid>
        <w:gridCol w:w="9360"/>
      </w:tblGrid>
      <w:tr>
        <w:tc>
          <w:tcPr>
            <w:tcW w:type="dxa" w:w="9360"/>
            <w:shd w:fill="F4F6F9"/>
            <w:tcMar>
              <w:top w:w="80" w:type="dxa"/>
              <w:start w:w="120" w:type="dxa"/>
              <w:bottom w:w="80" w:type="dxa"/>
              <w:end w:w="120" w:type="dxa"/>
            </w:tcMar>
          </w:tcPr>
          <w:p>
            <w:pPr>
              <w:spacing w:after="0"/>
            </w:pPr>
            <w:r/>
            <w:r>
              <w:rPr>
                <w:rFonts w:ascii="Calibri" w:hAnsi="Calibri"/>
                <w:b/>
                <w:color w:val="F26B2B"/>
                <w:sz w:val="21"/>
              </w:rPr>
              <w:t xml:space="preserve">THE PRODUCT IS NOT AN EXCEL CLONE  </w:t>
            </w:r>
            <w:r>
              <w:rPr>
                <w:rFonts w:ascii="Calibri" w:hAnsi="Calibri"/>
                <w:color w:val="111827"/>
                <w:sz w:val="21"/>
              </w:rPr>
              <w:t>Excel already performs the arithmetic. Structor's value is extracting, organizing, comparing, citing, reviewing, and reusing the information that humans currently type into Excel.</w:t>
            </w:r>
          </w:p>
        </w:tc>
      </w:tr>
    </w:tbl>
    <w:p>
      <w:pPr>
        <w:spacing w:after="20"/>
      </w:pPr>
    </w:p>
    <w:p>
      <w:pPr>
        <w:pStyle w:val="Heading2"/>
      </w:pPr>
      <w:r>
        <w:t>What the current prototype does</w:t>
      </w:r>
    </w:p>
    <w:p>
      <w:r>
        <w:rPr>
          <w:rFonts w:ascii="Calibri" w:hAnsi="Calibri"/>
          <w:color w:val="111827"/>
        </w:rPr>
        <w:t>The prototype imports the Jelleff Demo or SOWTemplate tab, reads project/trade metadata, scope rows, bidder names, base bids, Y/N/P, notes and adjustments, calculates the 2% bond and leveled totals, supports review, and exports changes back into Excel. It demonstrates the workflow shell, not the finished AI intelligence.</w:t>
      </w:r>
    </w:p>
    <w:p>
      <w:pPr>
        <w:keepNext/>
        <w:spacing w:after="0"/>
        <w:jc w:val="center"/>
      </w:pPr>
      <w:r>
        <w:drawing>
          <wp:inline xmlns:a="http://schemas.openxmlformats.org/drawingml/2006/main" xmlns:pic="http://schemas.openxmlformats.org/drawingml/2006/picture">
            <wp:extent cx="5897880" cy="4095750"/>
            <wp:docPr id="3" name="Picture 3" descr="Desktop screenshot of the Structor prototype with project totals, demolition scope rows, bidder columns, Y/N/P statuses, notes, adjustments, and a selected-scope side panel."/>
            <wp:cNvGraphicFramePr>
              <a:graphicFrameLocks noChangeAspect="1"/>
            </wp:cNvGraphicFramePr>
            <a:graphic>
              <a:graphicData uri="http://schemas.openxmlformats.org/drawingml/2006/picture">
                <pic:pic>
                  <pic:nvPicPr>
                    <pic:cNvPr id="0" name="structor-implementation-desktop-1440.png"/>
                    <pic:cNvPicPr/>
                  </pic:nvPicPr>
                  <pic:blipFill>
                    <a:blip r:embed="rId13"/>
                    <a:stretch>
                      <a:fillRect/>
                    </a:stretch>
                  </pic:blipFill>
                  <pic:spPr>
                    <a:xfrm>
                      <a:off x="0" y="0"/>
                      <a:ext cx="5897880" cy="4095750"/>
                    </a:xfrm>
                    <a:prstGeom prst="rect"/>
                  </pic:spPr>
                </pic:pic>
              </a:graphicData>
            </a:graphic>
          </wp:inline>
        </w:drawing>
      </w:r>
    </w:p>
    <w:p>
      <w:pPr>
        <w:pStyle w:val="FigureCaption"/>
        <w:jc w:val="center"/>
      </w:pPr>
      <w:r>
        <w:t>Figure 3. Current Structor workflow prototype using the Jelleff demolition structure. Some interface adjustment examples are illustrative, not source-of-truth workbook values.</w:t>
      </w:r>
    </w:p>
    <w:p>
      <w:pPr>
        <w:pStyle w:val="Heading2"/>
      </w:pPr>
      <w:r>
        <w:t>What the prototype does not yet do</w:t>
      </w:r>
    </w:p>
    <w:p>
      <w:pPr>
        <w:spacing w:after="80" w:line="300" w:lineRule="auto"/>
        <w:ind w:left="540" w:hanging="271"/>
        <w:numPr>
          <w:ilvl w:val="0"/>
          <w:numId w:val="50"/>
        </w:numPr>
      </w:pPr>
      <w:r>
        <w:rPr>
          <w:rFonts w:ascii="Calibri" w:hAnsi="Calibri"/>
          <w:color w:val="111827"/>
        </w:rPr>
        <w:t>Read construction drawings or specifications.</w:t>
      </w:r>
    </w:p>
    <w:p>
      <w:pPr>
        <w:spacing w:after="80" w:line="300" w:lineRule="auto"/>
        <w:ind w:left="540" w:hanging="271"/>
        <w:numPr>
          <w:ilvl w:val="0"/>
          <w:numId w:val="50"/>
        </w:numPr>
      </w:pPr>
      <w:r>
        <w:rPr>
          <w:rFonts w:ascii="Calibri" w:hAnsi="Calibri"/>
          <w:color w:val="111827"/>
        </w:rPr>
        <w:t>Generate scope rows with citations.</w:t>
      </w:r>
    </w:p>
    <w:p>
      <w:pPr>
        <w:spacing w:after="80" w:line="300" w:lineRule="auto"/>
        <w:ind w:left="540" w:hanging="271"/>
        <w:numPr>
          <w:ilvl w:val="0"/>
          <w:numId w:val="50"/>
        </w:numPr>
      </w:pPr>
      <w:r>
        <w:rPr>
          <w:rFonts w:ascii="Calibri" w:hAnsi="Calibri"/>
          <w:color w:val="111827"/>
        </w:rPr>
        <w:t>Parse real subcontractor proposal PDFs.</w:t>
      </w:r>
    </w:p>
    <w:p>
      <w:pPr>
        <w:spacing w:after="80" w:line="300" w:lineRule="auto"/>
        <w:ind w:left="540" w:hanging="271"/>
        <w:numPr>
          <w:ilvl w:val="0"/>
          <w:numId w:val="50"/>
        </w:numPr>
      </w:pPr>
      <w:r>
        <w:rPr>
          <w:rFonts w:ascii="Calibri" w:hAnsi="Calibri"/>
          <w:color w:val="111827"/>
        </w:rPr>
        <w:t>Decide Y/N/P from evidence.</w:t>
      </w:r>
    </w:p>
    <w:p>
      <w:pPr>
        <w:spacing w:after="80" w:line="300" w:lineRule="auto"/>
        <w:ind w:left="540" w:hanging="271"/>
        <w:numPr>
          <w:ilvl w:val="0"/>
          <w:numId w:val="50"/>
        </w:numPr>
      </w:pPr>
      <w:r>
        <w:rPr>
          <w:rFonts w:ascii="Calibri" w:hAnsi="Calibri"/>
          <w:color w:val="111827"/>
        </w:rPr>
        <w:t>Suggest defensible adjustment amounts from quantities and unit costs.</w:t>
      </w:r>
    </w:p>
    <w:p>
      <w:pPr>
        <w:spacing w:after="80" w:line="300" w:lineRule="auto"/>
        <w:ind w:left="540" w:hanging="271"/>
        <w:numPr>
          <w:ilvl w:val="0"/>
          <w:numId w:val="50"/>
        </w:numPr>
      </w:pPr>
      <w:r>
        <w:rPr>
          <w:rFonts w:ascii="Calibri" w:hAnsi="Calibri"/>
          <w:color w:val="111827"/>
        </w:rPr>
        <w:t>Operate a dedicated bid inbox or subcontractor portal.</w:t>
      </w:r>
    </w:p>
    <w:p>
      <w:pPr>
        <w:spacing w:after="80" w:line="300" w:lineRule="auto"/>
        <w:ind w:left="540" w:hanging="271"/>
        <w:numPr>
          <w:ilvl w:val="0"/>
          <w:numId w:val="50"/>
        </w:numPr>
      </w:pPr>
      <w:r>
        <w:rPr>
          <w:rFonts w:ascii="Calibri" w:hAnsi="Calibri"/>
          <w:color w:val="111827"/>
        </w:rPr>
        <w:t>Generate final contracts or takeoffs.</w:t>
      </w:r>
    </w:p>
    <w:p>
      <w:r>
        <w:br w:type="page"/>
      </w:r>
    </w:p>
    <w:p>
      <w:pPr>
        <w:pStyle w:val="Heading1"/>
      </w:pPr>
      <w:r>
        <w:t>8. What you actually promised Marcel</w:t>
      </w:r>
    </w:p>
    <w:p>
      <w:r>
        <w:rPr>
          <w:rFonts w:ascii="Calibri" w:hAnsi="Calibri"/>
          <w:color w:val="111827"/>
        </w:rPr>
        <w:t>The meeting contains several ideas, but the immediate commitment was narrower than the long-term vision. It is important not to combine every requested feature into a one-week promise.</w:t>
      </w:r>
    </w:p>
    <w:p>
      <w:pPr>
        <w:pStyle w:val="Heading2"/>
      </w:pPr>
      <w:r>
        <w:t>The immediate commitment for the next meeting</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Commitment</w:t>
            </w:r>
          </w:p>
        </w:tc>
        <w:tc>
          <w:tcPr>
            <w:tcW w:type="dxa" w:w="66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Meaning</w:t>
            </w:r>
          </w:p>
        </w:tc>
      </w:tr>
      <w:tr>
        <w:trPr>
          <w:cantSplit/>
        </w:trPr>
        <w:tc>
          <w:tcPr>
            <w:tcW w:type="dxa" w:w="2700"/>
            <w:tcMar>
              <w:top w:w="80" w:type="dxa"/>
              <w:start w:w="120" w:type="dxa"/>
              <w:bottom w:w="80" w:type="dxa"/>
              <w:end w:w="120" w:type="dxa"/>
            </w:tcMar>
            <w:vAlign w:val="center"/>
          </w:tcPr>
          <w:p>
            <w:pPr>
              <w:spacing w:before="0" w:after="40" w:line="259" w:lineRule="auto"/>
            </w:pPr>
            <w:r>
              <w:rPr>
                <w:rFonts w:ascii="Calibri" w:hAnsi="Calibri"/>
                <w:color w:val="111827"/>
                <w:sz w:val="18"/>
              </w:rPr>
              <w:t>Domain research</w:t>
            </w:r>
          </w:p>
        </w:tc>
        <w:tc>
          <w:tcPr>
            <w:tcW w:type="dxa" w:w="6660"/>
            <w:tcMar>
              <w:top w:w="80" w:type="dxa"/>
              <w:start w:w="120" w:type="dxa"/>
              <w:bottom w:w="80" w:type="dxa"/>
              <w:end w:w="120" w:type="dxa"/>
            </w:tcMar>
            <w:vAlign w:val="center"/>
          </w:tcPr>
          <w:p>
            <w:pPr>
              <w:spacing w:before="0" w:after="40" w:line="259" w:lineRule="auto"/>
            </w:pPr>
            <w:r>
              <w:rPr>
                <w:rFonts w:ascii="Calibri" w:hAnsi="Calibri"/>
                <w:color w:val="111827"/>
                <w:sz w:val="18"/>
              </w:rPr>
              <w:t>Understand the terminology, document types, trade codes, and where information flows.</w:t>
            </w:r>
          </w:p>
        </w:tc>
      </w:tr>
      <w:tr>
        <w:trPr>
          <w:cantSplit/>
        </w:trPr>
        <w:tc>
          <w:tcPr>
            <w:tcW w:type="dxa" w:w="2700"/>
            <w:tcMar>
              <w:top w:w="80" w:type="dxa"/>
              <w:start w:w="120" w:type="dxa"/>
              <w:bottom w:w="80" w:type="dxa"/>
              <w:end w:w="120" w:type="dxa"/>
            </w:tcMar>
            <w:vAlign w:val="center"/>
          </w:tcPr>
          <w:p>
            <w:pPr>
              <w:spacing w:before="0" w:after="40" w:line="259" w:lineRule="auto"/>
            </w:pPr>
            <w:r>
              <w:rPr>
                <w:rFonts w:ascii="Calibri" w:hAnsi="Calibri"/>
                <w:color w:val="111827"/>
                <w:sz w:val="18"/>
              </w:rPr>
              <w:t>A basic front-end demo</w:t>
            </w:r>
          </w:p>
        </w:tc>
        <w:tc>
          <w:tcPr>
            <w:tcW w:type="dxa" w:w="6660"/>
            <w:tcMar>
              <w:top w:w="80" w:type="dxa"/>
              <w:start w:w="120" w:type="dxa"/>
              <w:bottom w:w="80" w:type="dxa"/>
              <w:end w:w="120" w:type="dxa"/>
            </w:tcMar>
            <w:vAlign w:val="center"/>
          </w:tcPr>
          <w:p>
            <w:pPr>
              <w:spacing w:before="0" w:after="40" w:line="259" w:lineRule="auto"/>
            </w:pPr>
            <w:r>
              <w:rPr>
                <w:rFonts w:ascii="Calibri" w:hAnsi="Calibri"/>
                <w:color w:val="111827"/>
                <w:sz w:val="18"/>
              </w:rPr>
              <w:t>Show what the web application could look like so Marcel can give workflow feedback.</w:t>
            </w:r>
          </w:p>
        </w:tc>
      </w:tr>
      <w:tr>
        <w:trPr>
          <w:cantSplit/>
        </w:trPr>
        <w:tc>
          <w:tcPr>
            <w:tcW w:type="dxa" w:w="2700"/>
            <w:tcMar>
              <w:top w:w="80" w:type="dxa"/>
              <w:start w:w="120" w:type="dxa"/>
              <w:bottom w:w="80" w:type="dxa"/>
              <w:end w:w="120" w:type="dxa"/>
            </w:tcMar>
            <w:vAlign w:val="center"/>
          </w:tcPr>
          <w:p>
            <w:pPr>
              <w:spacing w:before="0" w:after="40" w:line="259" w:lineRule="auto"/>
            </w:pPr>
            <w:r>
              <w:rPr>
                <w:rFonts w:ascii="Calibri" w:hAnsi="Calibri"/>
                <w:color w:val="111827"/>
                <w:sz w:val="18"/>
              </w:rPr>
              <w:t>A sheet-filling application</w:t>
            </w:r>
          </w:p>
        </w:tc>
        <w:tc>
          <w:tcPr>
            <w:tcW w:type="dxa" w:w="6660"/>
            <w:tcMar>
              <w:top w:w="80" w:type="dxa"/>
              <w:start w:w="120" w:type="dxa"/>
              <w:bottom w:w="80" w:type="dxa"/>
              <w:end w:w="120" w:type="dxa"/>
            </w:tcMar>
            <w:vAlign w:val="center"/>
          </w:tcPr>
          <w:p>
            <w:pPr>
              <w:spacing w:before="0" w:after="40" w:line="259" w:lineRule="auto"/>
            </w:pPr>
            <w:r>
              <w:rPr>
                <w:rFonts w:ascii="Calibri" w:hAnsi="Calibri"/>
                <w:color w:val="111827"/>
                <w:sz w:val="18"/>
              </w:rPr>
              <w:t>Prototype an application that populates the existing trade-sheet structure.</w:t>
            </w:r>
          </w:p>
        </w:tc>
      </w:tr>
      <w:tr>
        <w:trPr>
          <w:cantSplit/>
        </w:trPr>
        <w:tc>
          <w:tcPr>
            <w:tcW w:type="dxa" w:w="2700"/>
            <w:tcMar>
              <w:top w:w="80" w:type="dxa"/>
              <w:start w:w="120" w:type="dxa"/>
              <w:bottom w:w="80" w:type="dxa"/>
              <w:end w:w="120" w:type="dxa"/>
            </w:tcMar>
            <w:vAlign w:val="center"/>
          </w:tcPr>
          <w:p>
            <w:pPr>
              <w:spacing w:before="0" w:after="40" w:line="259" w:lineRule="auto"/>
            </w:pPr>
            <w:r>
              <w:rPr>
                <w:rFonts w:ascii="Calibri" w:hAnsi="Calibri"/>
                <w:color w:val="111827"/>
                <w:sz w:val="18"/>
              </w:rPr>
              <w:t>Excel export</w:t>
            </w:r>
          </w:p>
        </w:tc>
        <w:tc>
          <w:tcPr>
            <w:tcW w:type="dxa" w:w="6660"/>
            <w:tcMar>
              <w:top w:w="80" w:type="dxa"/>
              <w:start w:w="120" w:type="dxa"/>
              <w:bottom w:w="80" w:type="dxa"/>
              <w:end w:w="120" w:type="dxa"/>
            </w:tcMar>
            <w:vAlign w:val="center"/>
          </w:tcPr>
          <w:p>
            <w:pPr>
              <w:spacing w:before="0" w:after="40" w:line="259" w:lineRule="auto"/>
            </w:pPr>
            <w:r>
              <w:rPr>
                <w:rFonts w:ascii="Calibri" w:hAnsi="Calibri"/>
                <w:color w:val="111827"/>
                <w:sz w:val="18"/>
              </w:rPr>
              <w:t>Preserve Marcel's familiar workbook output.</w:t>
            </w:r>
          </w:p>
        </w:tc>
      </w:tr>
      <w:tr>
        <w:trPr>
          <w:cantSplit/>
        </w:trPr>
        <w:tc>
          <w:tcPr>
            <w:tcW w:type="dxa" w:w="2700"/>
            <w:tcMar>
              <w:top w:w="80" w:type="dxa"/>
              <w:start w:w="120" w:type="dxa"/>
              <w:bottom w:w="80" w:type="dxa"/>
              <w:end w:w="120" w:type="dxa"/>
            </w:tcMar>
            <w:vAlign w:val="center"/>
          </w:tcPr>
          <w:p>
            <w:pPr>
              <w:spacing w:before="0" w:after="40" w:line="259" w:lineRule="auto"/>
            </w:pPr>
            <w:r>
              <w:rPr>
                <w:rFonts w:ascii="Calibri" w:hAnsi="Calibri"/>
                <w:color w:val="111827"/>
                <w:sz w:val="18"/>
              </w:rPr>
              <w:t>Iterative review</w:t>
            </w:r>
          </w:p>
        </w:tc>
        <w:tc>
          <w:tcPr>
            <w:tcW w:type="dxa" w:w="6660"/>
            <w:tcMar>
              <w:top w:w="80" w:type="dxa"/>
              <w:start w:w="120" w:type="dxa"/>
              <w:bottom w:w="80" w:type="dxa"/>
              <w:end w:w="120" w:type="dxa"/>
            </w:tcMar>
            <w:vAlign w:val="center"/>
          </w:tcPr>
          <w:p>
            <w:pPr>
              <w:spacing w:before="0" w:after="40" w:line="259" w:lineRule="auto"/>
            </w:pPr>
            <w:r>
              <w:rPr>
                <w:rFonts w:ascii="Calibri" w:hAnsi="Calibri"/>
                <w:color w:val="111827"/>
                <w:sz w:val="18"/>
              </w:rPr>
              <w:t>Meet weekly, ask informed questions, and refine the interface and workflow.</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F26B2B"/>
          <w:left w:val="single" w:sz="10" w:space="0" w:color="F26B2B"/>
          <w:bottom w:val="single" w:sz="10" w:space="0" w:color="F26B2B"/>
          <w:right w:val="single" w:sz="10" w:space="0" w:color="F26B2B"/>
          <w:insideH w:val="single" w:sz="10" w:space="0" w:color="F26B2B"/>
          <w:insideV w:val="single" w:sz="10" w:space="0" w:color="F26B2B"/>
        </w:tblBorders>
      </w:tblPr>
      <w:tblGrid>
        <w:gridCol w:w="9360"/>
      </w:tblGrid>
      <w:tr>
        <w:tc>
          <w:tcPr>
            <w:tcW w:type="dxa" w:w="9360"/>
            <w:shd w:fill="F4F6F9"/>
            <w:tcMar>
              <w:top w:w="80" w:type="dxa"/>
              <w:start w:w="120" w:type="dxa"/>
              <w:bottom w:w="80" w:type="dxa"/>
              <w:end w:w="120" w:type="dxa"/>
            </w:tcMar>
          </w:tcPr>
          <w:p>
            <w:pPr>
              <w:spacing w:after="0"/>
            </w:pPr>
            <w:r/>
            <w:r>
              <w:rPr>
                <w:rFonts w:ascii="Calibri" w:hAnsi="Calibri"/>
                <w:b/>
                <w:color w:val="F26B2B"/>
                <w:sz w:val="21"/>
              </w:rPr>
              <w:t xml:space="preserve">EXACT BOUNDARY  </w:t>
            </w:r>
            <w:r>
              <w:rPr>
                <w:rFonts w:ascii="Calibri" w:hAnsi="Calibri"/>
                <w:color w:val="111827"/>
                <w:sz w:val="21"/>
              </w:rPr>
              <w:t>You estimated that the sheet prototype and demo could be ready by the following meeting. You did not promise a production-ready drawing-reading AI, automatic takeoffs, or a fully autonomous estimator within one week.</w:t>
            </w:r>
          </w:p>
        </w:tc>
      </w:tr>
    </w:tbl>
    <w:p>
      <w:pPr>
        <w:spacing w:after="20"/>
      </w:pPr>
    </w:p>
    <w:p>
      <w:pPr>
        <w:pStyle w:val="Heading2"/>
      </w:pPr>
      <w:r>
        <w:t>The broader capability you said was possible</w:t>
      </w:r>
    </w:p>
    <w:p>
      <w:r>
        <w:rPr>
          <w:rFonts w:ascii="Calibri" w:hAnsi="Calibri"/>
          <w:color w:val="111827"/>
        </w:rPr>
        <w:t>You also agreed that the product could eventually extract construction information from blueprints, organize it by universal construction codes, show scopes as notes with source references, and export a trade file. That was agreement on technical direction, not a one-week completion date.</w:t>
      </w:r>
    </w:p>
    <w:p>
      <w:pPr>
        <w:pStyle w:val="Heading2"/>
      </w:pPr>
      <w:r>
        <w:t>There were two different 'Step 1' statements</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200"/>
        <w:gridCol w:w="3700"/>
        <w:gridCol w:w="3460"/>
      </w:tblGrid>
      <w:tr>
        <w:trPr>
          <w:tblHeader w:val="true"/>
          <w:cantSplit/>
        </w:trPr>
        <w:tc>
          <w:tcPr>
            <w:tcW w:type="dxa" w:w="2200"/>
            <w:tcMar>
              <w:top w:w="80" w:type="dxa"/>
              <w:start w:w="120" w:type="dxa"/>
              <w:bottom w:w="80" w:type="dxa"/>
              <w:end w:w="120" w:type="dxa"/>
            </w:tcMar>
            <w:vAlign w:val="center"/>
            <w:shd w:fill="E8EEF5"/>
          </w:tcPr>
          <w:p>
            <w:pPr>
              <w:keepNext/>
              <w:spacing w:before="0" w:after="60" w:line="259" w:lineRule="auto"/>
            </w:pPr>
            <w:r>
              <w:rPr>
                <w:rFonts w:ascii="Calibri" w:hAnsi="Calibri"/>
                <w:b/>
                <w:color w:val="0B2545"/>
                <w:sz w:val="18"/>
              </w:rPr>
              <w:t>Whose Step 1?</w:t>
            </w:r>
          </w:p>
        </w:tc>
        <w:tc>
          <w:tcPr>
            <w:tcW w:type="dxa" w:w="3700"/>
            <w:tcMar>
              <w:top w:w="80" w:type="dxa"/>
              <w:start w:w="120" w:type="dxa"/>
              <w:bottom w:w="80" w:type="dxa"/>
              <w:end w:w="120" w:type="dxa"/>
            </w:tcMar>
            <w:vAlign w:val="center"/>
            <w:shd w:fill="E8EEF5"/>
          </w:tcPr>
          <w:p>
            <w:pPr>
              <w:keepNext/>
              <w:spacing w:before="0" w:after="60" w:line="259" w:lineRule="auto"/>
            </w:pPr>
            <w:r>
              <w:rPr>
                <w:rFonts w:ascii="Calibri" w:hAnsi="Calibri"/>
                <w:b/>
                <w:color w:val="0B2545"/>
                <w:sz w:val="18"/>
              </w:rPr>
              <w:t>What it meant</w:t>
            </w:r>
          </w:p>
        </w:tc>
        <w:tc>
          <w:tcPr>
            <w:tcW w:type="dxa" w:w="3460"/>
            <w:tcMar>
              <w:top w:w="80" w:type="dxa"/>
              <w:start w:w="120" w:type="dxa"/>
              <w:bottom w:w="80" w:type="dxa"/>
              <w:end w:w="120" w:type="dxa"/>
            </w:tcMar>
            <w:vAlign w:val="center"/>
            <w:shd w:fill="E8EEF5"/>
          </w:tcPr>
          <w:p>
            <w:pPr>
              <w:keepNext/>
              <w:spacing w:before="0" w:after="60" w:line="259" w:lineRule="auto"/>
            </w:pPr>
            <w:r>
              <w:rPr>
                <w:rFonts w:ascii="Calibri" w:hAnsi="Calibri"/>
                <w:b/>
                <w:color w:val="0B2545"/>
                <w:sz w:val="18"/>
              </w:rPr>
              <w:t>Correct interpretation</w:t>
            </w:r>
          </w:p>
        </w:tc>
      </w:tr>
      <w:tr>
        <w:trPr>
          <w:cantSplit/>
        </w:trPr>
        <w:tc>
          <w:tcPr>
            <w:tcW w:type="dxa" w:w="2200"/>
            <w:tcMar>
              <w:top w:w="80" w:type="dxa"/>
              <w:start w:w="120" w:type="dxa"/>
              <w:bottom w:w="80" w:type="dxa"/>
              <w:end w:w="120" w:type="dxa"/>
            </w:tcMar>
            <w:vAlign w:val="center"/>
          </w:tcPr>
          <w:p>
            <w:pPr>
              <w:spacing w:before="0" w:after="60" w:line="259" w:lineRule="auto"/>
            </w:pPr>
            <w:r>
              <w:rPr>
                <w:rFonts w:ascii="Calibri" w:hAnsi="Calibri"/>
                <w:color w:val="111827"/>
                <w:sz w:val="19"/>
              </w:rPr>
              <w:t>Marcel's product Step 1</w:t>
            </w:r>
          </w:p>
        </w:tc>
        <w:tc>
          <w:tcPr>
            <w:tcW w:type="dxa" w:w="3700"/>
            <w:tcMar>
              <w:top w:w="80" w:type="dxa"/>
              <w:start w:w="120" w:type="dxa"/>
              <w:bottom w:w="80" w:type="dxa"/>
              <w:end w:w="120" w:type="dxa"/>
            </w:tcMar>
            <w:vAlign w:val="center"/>
          </w:tcPr>
          <w:p>
            <w:pPr>
              <w:spacing w:before="0" w:after="60" w:line="259" w:lineRule="auto"/>
            </w:pPr>
            <w:r>
              <w:rPr>
                <w:rFonts w:ascii="Calibri" w:hAnsi="Calibri"/>
                <w:color w:val="111827"/>
                <w:sz w:val="19"/>
              </w:rPr>
              <w:t>Upload drawings/specifications and generate cited scopes by trade.</w:t>
            </w:r>
          </w:p>
        </w:tc>
        <w:tc>
          <w:tcPr>
            <w:tcW w:type="dxa" w:w="3460"/>
            <w:tcMar>
              <w:top w:w="80" w:type="dxa"/>
              <w:start w:w="120" w:type="dxa"/>
              <w:bottom w:w="80" w:type="dxa"/>
              <w:end w:w="120" w:type="dxa"/>
            </w:tcMar>
            <w:vAlign w:val="center"/>
          </w:tcPr>
          <w:p>
            <w:pPr>
              <w:spacing w:before="0" w:after="60" w:line="259" w:lineRule="auto"/>
            </w:pPr>
            <w:r>
              <w:rPr>
                <w:rFonts w:ascii="Calibri" w:hAnsi="Calibri"/>
                <w:color w:val="111827"/>
                <w:sz w:val="19"/>
              </w:rPr>
              <w:t>The first major AI capability and the hardest intelligence problem.</w:t>
            </w:r>
          </w:p>
        </w:tc>
      </w:tr>
      <w:tr>
        <w:trPr>
          <w:cantSplit/>
        </w:trPr>
        <w:tc>
          <w:tcPr>
            <w:tcW w:type="dxa" w:w="2200"/>
            <w:tcMar>
              <w:top w:w="80" w:type="dxa"/>
              <w:start w:w="120" w:type="dxa"/>
              <w:bottom w:w="80" w:type="dxa"/>
              <w:end w:w="120" w:type="dxa"/>
            </w:tcMar>
            <w:vAlign w:val="center"/>
          </w:tcPr>
          <w:p>
            <w:pPr>
              <w:spacing w:before="0" w:after="60" w:line="259" w:lineRule="auto"/>
            </w:pPr>
            <w:r>
              <w:rPr>
                <w:rFonts w:ascii="Calibri" w:hAnsi="Calibri"/>
                <w:color w:val="111827"/>
                <w:sz w:val="19"/>
              </w:rPr>
              <w:t>The team's implementation starting point</w:t>
            </w:r>
          </w:p>
        </w:tc>
        <w:tc>
          <w:tcPr>
            <w:tcW w:type="dxa" w:w="3700"/>
            <w:tcMar>
              <w:top w:w="80" w:type="dxa"/>
              <w:start w:w="120" w:type="dxa"/>
              <w:bottom w:w="80" w:type="dxa"/>
              <w:end w:w="120" w:type="dxa"/>
            </w:tcMar>
            <w:vAlign w:val="center"/>
          </w:tcPr>
          <w:p>
            <w:pPr>
              <w:spacing w:before="0" w:after="60" w:line="259" w:lineRule="auto"/>
            </w:pPr>
            <w:r>
              <w:rPr>
                <w:rFonts w:ascii="Calibri" w:hAnsi="Calibri"/>
                <w:color w:val="111827"/>
                <w:sz w:val="19"/>
              </w:rPr>
              <w:t>Build the interface and automate sheet population/export.</w:t>
            </w:r>
          </w:p>
        </w:tc>
        <w:tc>
          <w:tcPr>
            <w:tcW w:type="dxa" w:w="3460"/>
            <w:tcMar>
              <w:top w:w="80" w:type="dxa"/>
              <w:start w:w="120" w:type="dxa"/>
              <w:bottom w:w="80" w:type="dxa"/>
              <w:end w:w="120" w:type="dxa"/>
            </w:tcMar>
            <w:vAlign w:val="center"/>
          </w:tcPr>
          <w:p>
            <w:pPr>
              <w:spacing w:before="0" w:after="60" w:line="259" w:lineRule="auto"/>
            </w:pPr>
            <w:r>
              <w:rPr>
                <w:rFonts w:ascii="Calibri" w:hAnsi="Calibri"/>
                <w:color w:val="111827"/>
                <w:sz w:val="19"/>
              </w:rPr>
              <w:t>The easiest demonstrable prototype and the actual next-meeting commitment.</w:t>
            </w:r>
          </w:p>
        </w:tc>
      </w:tr>
    </w:tbl>
    <w:p>
      <w:pPr>
        <w:spacing w:after="40"/>
      </w:pPr>
    </w:p>
    <w:p>
      <w:pPr>
        <w:pStyle w:val="Heading2"/>
      </w:pPr>
      <w:r>
        <w:t>What 'automate the sheets' should mean</w:t>
      </w:r>
    </w:p>
    <w:p>
      <w:pPr>
        <w:spacing w:after="80" w:line="300" w:lineRule="auto"/>
        <w:ind w:left="540" w:hanging="271"/>
        <w:numPr>
          <w:ilvl w:val="0"/>
          <w:numId w:val="50"/>
        </w:numPr>
      </w:pPr>
      <w:r>
        <w:rPr>
          <w:rFonts w:ascii="Calibri" w:hAnsi="Calibri"/>
          <w:color w:val="111827"/>
        </w:rPr>
        <w:t>Create or populate a trade sheet from structured project, scope, and bidder data.</w:t>
      </w:r>
    </w:p>
    <w:p>
      <w:pPr>
        <w:spacing w:after="80" w:line="300" w:lineRule="auto"/>
        <w:ind w:left="540" w:hanging="271"/>
        <w:numPr>
          <w:ilvl w:val="0"/>
          <w:numId w:val="50"/>
        </w:numPr>
      </w:pPr>
      <w:r>
        <w:rPr>
          <w:rFonts w:ascii="Calibri" w:hAnsi="Calibri"/>
          <w:color w:val="111827"/>
        </w:rPr>
        <w:t>Accept scope rows from manual entry first, then from the drawing reader later.</w:t>
      </w:r>
    </w:p>
    <w:p>
      <w:pPr>
        <w:spacing w:after="80" w:line="300" w:lineRule="auto"/>
        <w:ind w:left="540" w:hanging="271"/>
        <w:numPr>
          <w:ilvl w:val="0"/>
          <w:numId w:val="50"/>
        </w:numPr>
      </w:pPr>
      <w:r>
        <w:rPr>
          <w:rFonts w:ascii="Calibri" w:hAnsi="Calibri"/>
          <w:color w:val="111827"/>
        </w:rPr>
        <w:t>Accept bidder data from manual entry first, then proposal/email extraction later.</w:t>
      </w:r>
    </w:p>
    <w:p>
      <w:pPr>
        <w:spacing w:after="80" w:line="300" w:lineRule="auto"/>
        <w:ind w:left="540" w:hanging="271"/>
        <w:numPr>
          <w:ilvl w:val="0"/>
          <w:numId w:val="50"/>
        </w:numPr>
      </w:pPr>
      <w:r>
        <w:rPr>
          <w:rFonts w:ascii="Calibri" w:hAnsi="Calibri"/>
          <w:color w:val="111827"/>
        </w:rPr>
        <w:t>Calculate adjustments, bond, leveled total, completion state, and rank consistently.</w:t>
      </w:r>
    </w:p>
    <w:p>
      <w:pPr>
        <w:spacing w:after="80" w:line="300" w:lineRule="auto"/>
        <w:ind w:left="540" w:hanging="271"/>
        <w:numPr>
          <w:ilvl w:val="0"/>
          <w:numId w:val="50"/>
        </w:numPr>
      </w:pPr>
      <w:r>
        <w:rPr>
          <w:rFonts w:ascii="Calibri" w:hAnsi="Calibri"/>
          <w:color w:val="111827"/>
        </w:rPr>
        <w:t>Update the master Bid Sheet only after human approval.</w:t>
      </w:r>
    </w:p>
    <w:p>
      <w:pPr>
        <w:spacing w:after="80" w:line="300" w:lineRule="auto"/>
        <w:ind w:left="540" w:hanging="271"/>
        <w:numPr>
          <w:ilvl w:val="0"/>
          <w:numId w:val="50"/>
        </w:numPr>
      </w:pPr>
      <w:r>
        <w:rPr>
          <w:rFonts w:ascii="Calibri" w:hAnsi="Calibri"/>
          <w:color w:val="111827"/>
        </w:rPr>
        <w:t>Export a workbook that preserves the expected layout and opens without repair warnings.</w:t>
      </w:r>
    </w:p>
    <w:p>
      <w:r>
        <w:br w:type="page"/>
      </w:r>
    </w:p>
    <w:p>
      <w:pPr>
        <w:pStyle w:val="Heading1"/>
      </w:pPr>
      <w:r>
        <w:t>9. The recommended product milestones and data model</w:t>
      </w:r>
    </w:p>
    <w:p>
      <w:pPr>
        <w:pStyle w:val="Heading2"/>
      </w:pPr>
      <w:r>
        <w:t>Milestone 1 — Workflow and Excel prototype</w:t>
      </w:r>
    </w:p>
    <w:p>
      <w:r>
        <w:rPr>
          <w:rFonts w:ascii="Calibri" w:hAnsi="Calibri"/>
          <w:color w:val="111827"/>
        </w:rPr>
        <w:t>This is the current stage: project setup, trade selection, structured scope rows, bidder values, review controls, deterministic leveling calculations, and Excel export. It proves that the product can reproduce Marcel's operating surface without waiting for complex document AI.</w:t>
      </w:r>
    </w:p>
    <w:p>
      <w:pPr>
        <w:pStyle w:val="Heading2"/>
      </w:pPr>
      <w:r>
        <w:t>Milestone 2 — First true AI scope pilot</w:t>
      </w:r>
    </w:p>
    <w:p>
      <w:r>
        <w:rPr>
          <w:rFonts w:ascii="Calibri" w:hAnsi="Calibri"/>
          <w:color w:val="111827"/>
        </w:rPr>
        <w:t>Use one bounded trade—recommended: Jelleff drywall. Upload the relevant drawing/specification subset, generate a draft scope, attach a citation to every project-specific item, let Marcel accept/edit/reject it, and export the approved result.</w:t>
      </w:r>
    </w:p>
    <w:p>
      <w:pPr>
        <w:pStyle w:val="Heading2"/>
      </w:pPr>
      <w:r>
        <w:t>Milestone 3 — Proposal ingestion and auto-leveling</w:t>
      </w:r>
    </w:p>
    <w:p>
      <w:r>
        <w:rPr>
          <w:rFonts w:ascii="Calibri" w:hAnsi="Calibri"/>
          <w:color w:val="111827"/>
        </w:rPr>
        <w:t>Parse a real bidder proposal, identify the project/trade/bidder, extract base price, exclusions, alternates and qualifications, compare the proposal with the approved scope, and draft Y/N/P, notes, and missing-scope flags for approval.</w:t>
      </w:r>
    </w:p>
    <w:p>
      <w:pPr>
        <w:pStyle w:val="Heading2"/>
      </w:pPr>
      <w:r>
        <w:t>Milestone 4 — Roll-up, contract, and operations</w:t>
      </w:r>
    </w:p>
    <w:p>
      <w:r>
        <w:rPr>
          <w:rFonts w:ascii="Calibri" w:hAnsi="Calibri"/>
          <w:color w:val="111827"/>
        </w:rPr>
        <w:t>Move approved values into the project budget, generate Exhibit A from the approved scope, and add RFI, VE, alternate, assignment, audit, and handoff workflows. Takeoffs and subcontractor-side pricing can follow as separate, measurable products.</w:t>
      </w:r>
    </w:p>
    <w:p>
      <w:pPr>
        <w:pStyle w:val="Heading2"/>
      </w:pPr>
      <w:r>
        <w:t>The data model behind Excel</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Record</w:t>
            </w:r>
          </w:p>
        </w:tc>
        <w:tc>
          <w:tcPr>
            <w:tcW w:type="dxa" w:w="71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Important fields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Project</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Name, client, location, dates, area, revision, source documents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Trade</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CSI code, trade name, assigned estimator, project budget</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Scope item</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Section, text, required flag, source citation, review status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Bidder</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Company, contact, email, phone, qualification data</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Proposal</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File, bidder, trade, submitted price, alternates, exclusions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Bid response</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Scope item × bidder: Y/N/P, note, evidence, adjustment, approver</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Leveling result</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Base bid, adjustment total, bond, leveled total, completeness, rank</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Decision</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Recommended/selected bidder, approved budget value, rationale</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Award document</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Approved scope converted to Exhibit A / contract language</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F26B2B"/>
          <w:left w:val="single" w:sz="10" w:space="0" w:color="F26B2B"/>
          <w:bottom w:val="single" w:sz="10" w:space="0" w:color="F26B2B"/>
          <w:right w:val="single" w:sz="10" w:space="0" w:color="F26B2B"/>
          <w:insideH w:val="single" w:sz="10" w:space="0" w:color="F26B2B"/>
          <w:insideV w:val="single" w:sz="10" w:space="0" w:color="F26B2B"/>
        </w:tblBorders>
      </w:tblPr>
      <w:tblGrid>
        <w:gridCol w:w="9360"/>
      </w:tblGrid>
      <w:tr>
        <w:tc>
          <w:tcPr>
            <w:tcW w:type="dxa" w:w="9360"/>
            <w:shd w:fill="F4F6F9"/>
            <w:tcMar>
              <w:top w:w="80" w:type="dxa"/>
              <w:start w:w="120" w:type="dxa"/>
              <w:bottom w:w="80" w:type="dxa"/>
              <w:end w:w="120" w:type="dxa"/>
            </w:tcMar>
          </w:tcPr>
          <w:p>
            <w:pPr>
              <w:spacing w:after="0"/>
            </w:pPr>
            <w:r/>
            <w:r>
              <w:rPr>
                <w:rFonts w:ascii="Calibri" w:hAnsi="Calibri"/>
                <w:b/>
                <w:color w:val="F26B2B"/>
                <w:sz w:val="21"/>
              </w:rPr>
              <w:t xml:space="preserve">WHY THIS MATTERS  </w:t>
            </w:r>
            <w:r>
              <w:rPr>
                <w:rFonts w:ascii="Calibri" w:hAnsi="Calibri"/>
                <w:color w:val="111827"/>
                <w:sz w:val="21"/>
              </w:rPr>
              <w:t>Once these records exist separately from Excel, the same approved data can power the web app, Excel export, project summary, scope library, audit history, and contract without copying information repeatedly.</w:t>
            </w:r>
          </w:p>
        </w:tc>
      </w:tr>
    </w:tbl>
    <w:p>
      <w:pPr>
        <w:spacing w:after="20"/>
      </w:pPr>
    </w:p>
    <w:p>
      <w:r>
        <w:br w:type="page"/>
      </w:r>
    </w:p>
    <w:p>
      <w:pPr>
        <w:pStyle w:val="Heading1"/>
      </w:pPr>
      <w:r>
        <w:t>10. How the AI components should work safely</w:t>
      </w:r>
    </w:p>
    <w:p>
      <w:pPr>
        <w:pStyle w:val="Heading2"/>
      </w:pPr>
      <w:r>
        <w:t>A. Drawing and specification reader</w:t>
      </w:r>
    </w:p>
    <w:p>
      <w:pPr>
        <w:spacing w:after="80" w:line="300" w:lineRule="auto"/>
        <w:ind w:left="540" w:hanging="271"/>
      </w:pPr>
      <w:r>
        <w:rPr>
          <w:rFonts w:ascii="Calibri" w:hAnsi="Calibri"/>
          <w:color w:val="111827"/>
        </w:rPr>
        <w:t xml:space="preserve">1.  </w:t>
      </w:r>
      <w:r>
        <w:rPr>
          <w:rFonts w:ascii="Calibri" w:hAnsi="Calibri"/>
          <w:color w:val="111827"/>
        </w:rPr>
        <w:t>Ingest each file and preserve page, sheet number, discipline, revision, and document type.</w:t>
      </w:r>
    </w:p>
    <w:p>
      <w:pPr>
        <w:spacing w:after="80" w:line="300" w:lineRule="auto"/>
        <w:ind w:left="540" w:hanging="271"/>
      </w:pPr>
      <w:r>
        <w:rPr>
          <w:rFonts w:ascii="Calibri" w:hAnsi="Calibri"/>
          <w:color w:val="111827"/>
        </w:rPr>
        <w:t xml:space="preserve">2.  </w:t>
      </w:r>
      <w:r>
        <w:rPr>
          <w:rFonts w:ascii="Calibri" w:hAnsi="Calibri"/>
          <w:color w:val="111827"/>
        </w:rPr>
        <w:t>Extract text, schedules, notes, callouts, details, and specification sections while retaining coordinates.</w:t>
      </w:r>
    </w:p>
    <w:p>
      <w:pPr>
        <w:spacing w:after="80" w:line="300" w:lineRule="auto"/>
        <w:ind w:left="540" w:hanging="271"/>
      </w:pPr>
      <w:r>
        <w:rPr>
          <w:rFonts w:ascii="Calibri" w:hAnsi="Calibri"/>
          <w:color w:val="111827"/>
        </w:rPr>
        <w:t xml:space="preserve">3.  </w:t>
      </w:r>
      <w:r>
        <w:rPr>
          <w:rFonts w:ascii="Calibri" w:hAnsi="Calibri"/>
          <w:color w:val="111827"/>
        </w:rPr>
        <w:t>Classify facts into likely trades and CSI sections.</w:t>
      </w:r>
    </w:p>
    <w:p>
      <w:pPr>
        <w:spacing w:after="80" w:line="300" w:lineRule="auto"/>
        <w:ind w:left="540" w:hanging="271"/>
      </w:pPr>
      <w:r>
        <w:rPr>
          <w:rFonts w:ascii="Calibri" w:hAnsi="Calibri"/>
          <w:color w:val="111827"/>
        </w:rPr>
        <w:t xml:space="preserve">4.  </w:t>
      </w:r>
      <w:r>
        <w:rPr>
          <w:rFonts w:ascii="Calibri" w:hAnsi="Calibri"/>
          <w:color w:val="111827"/>
        </w:rPr>
        <w:t>Generate draft scope sentences from the evidence and reusable scope library.</w:t>
      </w:r>
    </w:p>
    <w:p>
      <w:pPr>
        <w:spacing w:after="80" w:line="300" w:lineRule="auto"/>
        <w:ind w:left="540" w:hanging="271"/>
      </w:pPr>
      <w:r>
        <w:rPr>
          <w:rFonts w:ascii="Calibri" w:hAnsi="Calibri"/>
          <w:color w:val="111827"/>
        </w:rPr>
        <w:t xml:space="preserve">5.  </w:t>
      </w:r>
      <w:r>
        <w:rPr>
          <w:rFonts w:ascii="Calibri" w:hAnsi="Calibri"/>
          <w:color w:val="111827"/>
        </w:rPr>
        <w:t>Attach the exact drawing/specification citation and preview region to every project-specific scope item.</w:t>
      </w:r>
    </w:p>
    <w:p>
      <w:pPr>
        <w:spacing w:after="80" w:line="300" w:lineRule="auto"/>
        <w:ind w:left="540" w:hanging="271"/>
      </w:pPr>
      <w:r>
        <w:rPr>
          <w:rFonts w:ascii="Calibri" w:hAnsi="Calibri"/>
          <w:color w:val="111827"/>
        </w:rPr>
        <w:t xml:space="preserve">6.  </w:t>
      </w:r>
      <w:r>
        <w:rPr>
          <w:rFonts w:ascii="Calibri" w:hAnsi="Calibri"/>
          <w:color w:val="111827"/>
        </w:rPr>
        <w:t>Require a reviewer to accept, edit, reject, or reassign each item.</w:t>
      </w:r>
    </w:p>
    <w:p>
      <w:pPr>
        <w:pStyle w:val="Heading2"/>
      </w:pPr>
      <w:r>
        <w:t>B. Proposal reader</w:t>
      </w:r>
    </w:p>
    <w:p>
      <w:pPr>
        <w:spacing w:after="80" w:line="300" w:lineRule="auto"/>
        <w:ind w:left="540" w:hanging="271"/>
      </w:pPr>
      <w:r>
        <w:rPr>
          <w:rFonts w:ascii="Calibri" w:hAnsi="Calibri"/>
          <w:color w:val="111827"/>
        </w:rPr>
        <w:t xml:space="preserve">1.  </w:t>
      </w:r>
      <w:r>
        <w:rPr>
          <w:rFonts w:ascii="Calibri" w:hAnsi="Calibri"/>
          <w:color w:val="111827"/>
        </w:rPr>
        <w:t>Identify project, trade, bidder, proposal date and revision.</w:t>
      </w:r>
    </w:p>
    <w:p>
      <w:pPr>
        <w:spacing w:after="80" w:line="300" w:lineRule="auto"/>
        <w:ind w:left="540" w:hanging="271"/>
      </w:pPr>
      <w:r>
        <w:rPr>
          <w:rFonts w:ascii="Calibri" w:hAnsi="Calibri"/>
          <w:color w:val="111827"/>
        </w:rPr>
        <w:t xml:space="preserve">2.  </w:t>
      </w:r>
      <w:r>
        <w:rPr>
          <w:rFonts w:ascii="Calibri" w:hAnsi="Calibri"/>
          <w:color w:val="111827"/>
        </w:rPr>
        <w:t>Extract base bid, taxes/bond assumptions, exclusions, alternates, allowances and qualifications.</w:t>
      </w:r>
    </w:p>
    <w:p>
      <w:pPr>
        <w:spacing w:after="80" w:line="300" w:lineRule="auto"/>
        <w:ind w:left="540" w:hanging="271"/>
      </w:pPr>
      <w:r>
        <w:rPr>
          <w:rFonts w:ascii="Calibri" w:hAnsi="Calibri"/>
          <w:color w:val="111827"/>
        </w:rPr>
        <w:t xml:space="preserve">3.  </w:t>
      </w:r>
      <w:r>
        <w:rPr>
          <w:rFonts w:ascii="Calibri" w:hAnsi="Calibri"/>
          <w:color w:val="111827"/>
        </w:rPr>
        <w:t>Compare proposal language to each approved master scope row.</w:t>
      </w:r>
    </w:p>
    <w:p>
      <w:pPr>
        <w:spacing w:after="80" w:line="300" w:lineRule="auto"/>
        <w:ind w:left="540" w:hanging="271"/>
      </w:pPr>
      <w:r>
        <w:rPr>
          <w:rFonts w:ascii="Calibri" w:hAnsi="Calibri"/>
          <w:color w:val="111827"/>
        </w:rPr>
        <w:t xml:space="preserve">4.  </w:t>
      </w:r>
      <w:r>
        <w:rPr>
          <w:rFonts w:ascii="Calibri" w:hAnsi="Calibri"/>
          <w:color w:val="111827"/>
        </w:rPr>
        <w:t>Draft Y/N/P and a concise note with the exact proposal evidence.</w:t>
      </w:r>
    </w:p>
    <w:p>
      <w:pPr>
        <w:spacing w:after="80" w:line="300" w:lineRule="auto"/>
        <w:ind w:left="540" w:hanging="271"/>
      </w:pPr>
      <w:r>
        <w:rPr>
          <w:rFonts w:ascii="Calibri" w:hAnsi="Calibri"/>
          <w:color w:val="111827"/>
        </w:rPr>
        <w:t xml:space="preserve">5.  </w:t>
      </w:r>
      <w:r>
        <w:rPr>
          <w:rFonts w:ascii="Calibri" w:hAnsi="Calibri"/>
          <w:color w:val="111827"/>
        </w:rPr>
        <w:t>Flag unresolved or contradictory language instead of guessing.</w:t>
      </w:r>
    </w:p>
    <w:p>
      <w:pPr>
        <w:spacing w:after="80" w:line="300" w:lineRule="auto"/>
        <w:ind w:left="540" w:hanging="271"/>
      </w:pPr>
      <w:r>
        <w:rPr>
          <w:rFonts w:ascii="Calibri" w:hAnsi="Calibri"/>
          <w:color w:val="111827"/>
        </w:rPr>
        <w:t xml:space="preserve">6.  </w:t>
      </w:r>
      <w:r>
        <w:rPr>
          <w:rFonts w:ascii="Calibri" w:hAnsi="Calibri"/>
          <w:color w:val="111827"/>
        </w:rPr>
        <w:t>Let the estimator approve the comparison before it affects totals or the budget.</w:t>
      </w:r>
    </w:p>
    <w:p>
      <w:pPr>
        <w:pStyle w:val="Heading2"/>
      </w:pPr>
      <w:r>
        <w:t>C. Adjustment suggestion</w:t>
      </w:r>
    </w:p>
    <w:p>
      <w:r>
        <w:rPr>
          <w:rFonts w:ascii="Calibri" w:hAnsi="Calibri"/>
          <w:color w:val="111827"/>
        </w:rPr>
        <w:t>The system can suggest an adjustment when a bidder misses work, but this must be explainable. A useful suggestion shows the missing quantity, unit of measure, selected unit rate, rate source, calculation, confidence, and who approved it. A black-box number is not acceptable for a bid or contract.</w:t>
      </w:r>
    </w:p>
    <w:p>
      <w:pPr>
        <w:pStyle w:val="Heading2"/>
      </w:pPr>
      <w:r>
        <w:t>D. Scope and cost library</w:t>
      </w:r>
    </w:p>
    <w:p>
      <w:r>
        <w:rPr>
          <w:rFonts w:ascii="Calibri" w:hAnsi="Calibri"/>
          <w:color w:val="111827"/>
        </w:rPr>
        <w:t>The library should remember approved, reusable knowledge—not silently train on every draft. Store standard scope clauses by trade, project-specific approved clauses, drawing/specification citation patterns, historical unit costs with date/location context, proposal terminology, and approved adjustment decisions. Every reuse should show provenance.</w:t>
      </w:r>
    </w:p>
    <w:p>
      <w:pPr>
        <w:pStyle w:val="Heading2"/>
      </w:pPr>
      <w:r>
        <w:t>Non-negotiable safeguards</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Safeguard</w:t>
            </w:r>
          </w:p>
        </w:tc>
        <w:tc>
          <w:tcPr>
            <w:tcW w:type="dxa" w:w="71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Required behavior</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Evidence</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Every non-generic extracted fact links back to its source.</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Human approval</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AI suggestions do not automatically alter the budget or contract.</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Revision awareness</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A drawing/spec revision can invalidate earlier citations and decisions.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Audit trail</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Store who changed Y/N/P, adjustment, selection, and contract scope, and when.</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Clean-room implementation</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Do not copy Wyre AI code, private prompts, protected templates, or NDA-restricted behavior.</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Security</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Drawings, bids and contracts are commercially sensitive and require tenant isolation and access controls.</w:t>
            </w:r>
          </w:p>
        </w:tc>
      </w:tr>
    </w:tbl>
    <w:p>
      <w:pPr>
        <w:spacing w:after="40"/>
      </w:pPr>
    </w:p>
    <w:p>
      <w:r>
        <w:br w:type="page"/>
      </w:r>
    </w:p>
    <w:p>
      <w:pPr>
        <w:pStyle w:val="Heading1"/>
      </w:pPr>
      <w:r>
        <w:t>11. What you need from Marcel next</w:t>
      </w:r>
    </w:p>
    <w:tbl>
      <w:tblPr>
        <w:tblW w:type="dxa" w:w="9360"/>
        <w:jc w:val="left"/>
        <w:tblLayout w:type="fixed"/>
        <w:tblLook w:firstColumn="1" w:firstRow="1" w:lastColumn="0" w:lastRow="0" w:noHBand="0" w:noVBand="1" w:val="04A0"/>
        <w:tblInd w:w="120" w:type="dxa"/>
        <w:tblBorders>
          <w:top w:val="single" w:sz="10" w:space="0" w:color="F26B2B"/>
          <w:left w:val="single" w:sz="10" w:space="0" w:color="F26B2B"/>
          <w:bottom w:val="single" w:sz="10" w:space="0" w:color="F26B2B"/>
          <w:right w:val="single" w:sz="10" w:space="0" w:color="F26B2B"/>
          <w:insideH w:val="single" w:sz="10" w:space="0" w:color="F26B2B"/>
          <w:insideV w:val="single" w:sz="10" w:space="0" w:color="F26B2B"/>
        </w:tblBorders>
      </w:tblPr>
      <w:tblGrid>
        <w:gridCol w:w="9360"/>
      </w:tblGrid>
      <w:tr>
        <w:tc>
          <w:tcPr>
            <w:tcW w:type="dxa" w:w="9360"/>
            <w:shd w:fill="F4F6F9"/>
            <w:tcMar>
              <w:top w:w="80" w:type="dxa"/>
              <w:start w:w="120" w:type="dxa"/>
              <w:bottom w:w="80" w:type="dxa"/>
              <w:end w:w="120" w:type="dxa"/>
            </w:tcMar>
          </w:tcPr>
          <w:p>
            <w:pPr>
              <w:spacing w:after="0"/>
            </w:pPr>
            <w:r/>
            <w:r>
              <w:rPr>
                <w:rFonts w:ascii="Calibri" w:hAnsi="Calibri"/>
                <w:b/>
                <w:color w:val="F26B2B"/>
                <w:sz w:val="21"/>
              </w:rPr>
              <w:t xml:space="preserve">DO NOT ASK FOR RANDOM MOCK SHEETS  </w:t>
            </w:r>
            <w:r>
              <w:rPr>
                <w:rFonts w:ascii="Calibri" w:hAnsi="Calibri"/>
                <w:color w:val="111827"/>
                <w:sz w:val="21"/>
              </w:rPr>
              <w:t>Ask for one matched, completed trade package from source documents through final decision. The files must tell one coherent story.</w:t>
            </w:r>
          </w:p>
        </w:tc>
      </w:tr>
    </w:tbl>
    <w:p>
      <w:pPr>
        <w:spacing w:after="20"/>
      </w:pPr>
    </w:p>
    <w:p>
      <w:pPr>
        <w:pStyle w:val="Heading2"/>
      </w:pPr>
      <w:r>
        <w:t>The recommended golden dataset</w:t>
      </w:r>
    </w:p>
    <w:p>
      <w:pPr>
        <w:spacing w:after="80" w:line="300" w:lineRule="auto"/>
        <w:ind w:left="540" w:hanging="271"/>
        <w:numPr>
          <w:ilvl w:val="0"/>
          <w:numId w:val="50"/>
        </w:numPr>
      </w:pPr>
      <w:r>
        <w:rPr>
          <w:rFonts w:ascii="Calibri" w:hAnsi="Calibri"/>
          <w:color w:val="111827"/>
        </w:rPr>
        <w:t>The exact drawing and specification files used for the bid.</w:t>
      </w:r>
    </w:p>
    <w:p>
      <w:pPr>
        <w:spacing w:after="80" w:line="300" w:lineRule="auto"/>
        <w:ind w:left="540" w:hanging="271"/>
        <w:numPr>
          <w:ilvl w:val="0"/>
          <w:numId w:val="50"/>
        </w:numPr>
      </w:pPr>
      <w:r>
        <w:rPr>
          <w:rFonts w:ascii="Calibri" w:hAnsi="Calibri"/>
          <w:color w:val="111827"/>
        </w:rPr>
        <w:t>The final human-written trade scope or bid form.</w:t>
      </w:r>
    </w:p>
    <w:p>
      <w:pPr>
        <w:spacing w:after="80" w:line="300" w:lineRule="auto"/>
        <w:ind w:left="540" w:hanging="271"/>
        <w:numPr>
          <w:ilvl w:val="0"/>
          <w:numId w:val="50"/>
        </w:numPr>
      </w:pPr>
      <w:r>
        <w:rPr>
          <w:rFonts w:ascii="Calibri" w:hAnsi="Calibri"/>
          <w:color w:val="111827"/>
        </w:rPr>
        <w:t>At least two or three subcontractor proposals for that trade.</w:t>
      </w:r>
    </w:p>
    <w:p>
      <w:pPr>
        <w:spacing w:after="80" w:line="300" w:lineRule="auto"/>
        <w:ind w:left="540" w:hanging="271"/>
        <w:numPr>
          <w:ilvl w:val="0"/>
          <w:numId w:val="50"/>
        </w:numPr>
      </w:pPr>
      <w:r>
        <w:rPr>
          <w:rFonts w:ascii="Calibri" w:hAnsi="Calibri"/>
          <w:color w:val="111827"/>
        </w:rPr>
        <w:t>The completed leveling sheet with Y/N/P, notes and adjustments.</w:t>
      </w:r>
    </w:p>
    <w:p>
      <w:pPr>
        <w:spacing w:after="80" w:line="300" w:lineRule="auto"/>
        <w:ind w:left="540" w:hanging="271"/>
        <w:numPr>
          <w:ilvl w:val="0"/>
          <w:numId w:val="50"/>
        </w:numPr>
      </w:pPr>
      <w:r>
        <w:rPr>
          <w:rFonts w:ascii="Calibri" w:hAnsi="Calibri"/>
          <w:color w:val="111827"/>
        </w:rPr>
        <w:t>RFIs, addenda or clarifications that changed the scope.</w:t>
      </w:r>
    </w:p>
    <w:p>
      <w:pPr>
        <w:spacing w:after="80" w:line="300" w:lineRule="auto"/>
        <w:ind w:left="540" w:hanging="271"/>
        <w:numPr>
          <w:ilvl w:val="0"/>
          <w:numId w:val="50"/>
        </w:numPr>
      </w:pPr>
      <w:r>
        <w:rPr>
          <w:rFonts w:ascii="Calibri" w:hAnsi="Calibri"/>
          <w:color w:val="111827"/>
        </w:rPr>
        <w:t>The selected bidder and approved budget value.</w:t>
      </w:r>
    </w:p>
    <w:p>
      <w:pPr>
        <w:spacing w:after="80" w:line="300" w:lineRule="auto"/>
        <w:ind w:left="540" w:hanging="271"/>
        <w:numPr>
          <w:ilvl w:val="0"/>
          <w:numId w:val="50"/>
        </w:numPr>
      </w:pPr>
      <w:r>
        <w:rPr>
          <w:rFonts w:ascii="Calibri" w:hAnsi="Calibri"/>
          <w:color w:val="111827"/>
        </w:rPr>
        <w:t>The final Exhibit A, if one was issued.</w:t>
      </w:r>
    </w:p>
    <w:p>
      <w:pPr>
        <w:pStyle w:val="Heading2"/>
      </w:pPr>
      <w:r>
        <w:t>Best first pilot: Jelleff drywall</w:t>
      </w:r>
    </w:p>
    <w:p>
      <w:r>
        <w:rPr>
          <w:rFonts w:ascii="Calibri" w:hAnsi="Calibri"/>
          <w:color w:val="111827"/>
        </w:rPr>
        <w:t>The verified source inventory indicates that drywall is the strongest complete test case: drawings and project manual, a human drywall scope/bid form, a District bid form and proposal, the populated GWB sheet, and a Wyre AI sample package. Demolition is useful for understanding workbook formulas, but the shared drywall package is better for testing the whole chain.</w:t>
      </w:r>
    </w:p>
    <w:p>
      <w:pPr>
        <w:pStyle w:val="Heading2"/>
      </w:pPr>
      <w:r>
        <w:t>What you should ask Marcel to label</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300"/>
        <w:gridCol w:w="7060"/>
      </w:tblGrid>
      <w:tr>
        <w:trPr>
          <w:tblHeader w:val="true"/>
          <w:cantSplit/>
        </w:trPr>
        <w:tc>
          <w:tcPr>
            <w:tcW w:type="dxa" w:w="23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Labeling task</w:t>
            </w:r>
          </w:p>
        </w:tc>
        <w:tc>
          <w:tcPr>
            <w:tcW w:type="dxa" w:w="70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Question to answer</w:t>
            </w:r>
          </w:p>
        </w:tc>
      </w:tr>
      <w:tr>
        <w:trPr>
          <w:cantSplit/>
        </w:trPr>
        <w:tc>
          <w:tcPr>
            <w:tcW w:type="dxa" w:w="2300"/>
            <w:tcMar>
              <w:top w:w="80" w:type="dxa"/>
              <w:start w:w="120" w:type="dxa"/>
              <w:bottom w:w="80" w:type="dxa"/>
              <w:end w:w="120" w:type="dxa"/>
            </w:tcMar>
            <w:vAlign w:val="center"/>
          </w:tcPr>
          <w:p>
            <w:pPr>
              <w:spacing w:before="0" w:after="40" w:line="259" w:lineRule="auto"/>
            </w:pPr>
            <w:r>
              <w:rPr>
                <w:rFonts w:ascii="Calibri" w:hAnsi="Calibri"/>
                <w:color w:val="111827"/>
                <w:sz w:val="18"/>
              </w:rPr>
              <w:t>For each scope item</w:t>
            </w:r>
          </w:p>
        </w:tc>
        <w:tc>
          <w:tcPr>
            <w:tcW w:type="dxa" w:w="7060"/>
            <w:tcMar>
              <w:top w:w="80" w:type="dxa"/>
              <w:start w:w="120" w:type="dxa"/>
              <w:bottom w:w="80" w:type="dxa"/>
              <w:end w:w="120" w:type="dxa"/>
            </w:tcMar>
            <w:vAlign w:val="center"/>
          </w:tcPr>
          <w:p>
            <w:pPr>
              <w:spacing w:before="0" w:after="40" w:line="259" w:lineRule="auto"/>
            </w:pPr>
            <w:r>
              <w:rPr>
                <w:rFonts w:ascii="Calibri" w:hAnsi="Calibri"/>
                <w:color w:val="111827"/>
                <w:sz w:val="18"/>
              </w:rPr>
              <w:t>Which drawing page/detail or specification section created it? Is it standard or project-specific?</w:t>
            </w:r>
          </w:p>
        </w:tc>
      </w:tr>
      <w:tr>
        <w:trPr>
          <w:cantSplit/>
        </w:trPr>
        <w:tc>
          <w:tcPr>
            <w:tcW w:type="dxa" w:w="2300"/>
            <w:tcMar>
              <w:top w:w="80" w:type="dxa"/>
              <w:start w:w="120" w:type="dxa"/>
              <w:bottom w:w="80" w:type="dxa"/>
              <w:end w:w="120" w:type="dxa"/>
            </w:tcMar>
            <w:vAlign w:val="center"/>
          </w:tcPr>
          <w:p>
            <w:pPr>
              <w:spacing w:before="0" w:after="40" w:line="259" w:lineRule="auto"/>
            </w:pPr>
            <w:r>
              <w:rPr>
                <w:rFonts w:ascii="Calibri" w:hAnsi="Calibri"/>
                <w:color w:val="111827"/>
                <w:sz w:val="18"/>
              </w:rPr>
              <w:t>For trade ownership</w:t>
            </w:r>
          </w:p>
        </w:tc>
        <w:tc>
          <w:tcPr>
            <w:tcW w:type="dxa" w:w="7060"/>
            <w:tcMar>
              <w:top w:w="80" w:type="dxa"/>
              <w:start w:w="120" w:type="dxa"/>
              <w:bottom w:w="80" w:type="dxa"/>
              <w:end w:w="120" w:type="dxa"/>
            </w:tcMar>
            <w:vAlign w:val="center"/>
          </w:tcPr>
          <w:p>
            <w:pPr>
              <w:spacing w:before="0" w:after="40" w:line="259" w:lineRule="auto"/>
            </w:pPr>
            <w:r>
              <w:rPr>
                <w:rFonts w:ascii="Calibri" w:hAnsi="Calibri"/>
                <w:color w:val="111827"/>
                <w:sz w:val="18"/>
              </w:rPr>
              <w:t>Why does this item belong to drywall/concrete/etc. and not another trade?</w:t>
            </w:r>
          </w:p>
        </w:tc>
      </w:tr>
      <w:tr>
        <w:trPr>
          <w:cantSplit/>
        </w:trPr>
        <w:tc>
          <w:tcPr>
            <w:tcW w:type="dxa" w:w="2300"/>
            <w:tcMar>
              <w:top w:w="80" w:type="dxa"/>
              <w:start w:w="120" w:type="dxa"/>
              <w:bottom w:w="80" w:type="dxa"/>
              <w:end w:w="120" w:type="dxa"/>
            </w:tcMar>
            <w:vAlign w:val="center"/>
          </w:tcPr>
          <w:p>
            <w:pPr>
              <w:spacing w:before="0" w:after="40" w:line="259" w:lineRule="auto"/>
            </w:pPr>
            <w:r>
              <w:rPr>
                <w:rFonts w:ascii="Calibri" w:hAnsi="Calibri"/>
                <w:color w:val="111827"/>
                <w:sz w:val="18"/>
              </w:rPr>
              <w:t>For each proposal</w:t>
            </w:r>
          </w:p>
        </w:tc>
        <w:tc>
          <w:tcPr>
            <w:tcW w:type="dxa" w:w="7060"/>
            <w:tcMar>
              <w:top w:w="80" w:type="dxa"/>
              <w:start w:w="120" w:type="dxa"/>
              <w:bottom w:w="80" w:type="dxa"/>
              <w:end w:w="120" w:type="dxa"/>
            </w:tcMar>
            <w:vAlign w:val="center"/>
          </w:tcPr>
          <w:p>
            <w:pPr>
              <w:spacing w:before="0" w:after="40" w:line="259" w:lineRule="auto"/>
            </w:pPr>
            <w:r>
              <w:rPr>
                <w:rFonts w:ascii="Calibri" w:hAnsi="Calibri"/>
                <w:color w:val="111827"/>
                <w:sz w:val="18"/>
              </w:rPr>
              <w:t>Which sentence supports Y, N or P? What does ambiguous wording mean?</w:t>
            </w:r>
          </w:p>
        </w:tc>
      </w:tr>
      <w:tr>
        <w:trPr>
          <w:cantSplit/>
        </w:trPr>
        <w:tc>
          <w:tcPr>
            <w:tcW w:type="dxa" w:w="2300"/>
            <w:tcMar>
              <w:top w:w="80" w:type="dxa"/>
              <w:start w:w="120" w:type="dxa"/>
              <w:bottom w:w="80" w:type="dxa"/>
              <w:end w:w="120" w:type="dxa"/>
            </w:tcMar>
            <w:vAlign w:val="center"/>
          </w:tcPr>
          <w:p>
            <w:pPr>
              <w:spacing w:before="0" w:after="40" w:line="259" w:lineRule="auto"/>
            </w:pPr>
            <w:r>
              <w:rPr>
                <w:rFonts w:ascii="Calibri" w:hAnsi="Calibri"/>
                <w:color w:val="111827"/>
                <w:sz w:val="18"/>
              </w:rPr>
              <w:t>For each adjustment</w:t>
            </w:r>
          </w:p>
        </w:tc>
        <w:tc>
          <w:tcPr>
            <w:tcW w:type="dxa" w:w="7060"/>
            <w:tcMar>
              <w:top w:w="80" w:type="dxa"/>
              <w:start w:w="120" w:type="dxa"/>
              <w:bottom w:w="80" w:type="dxa"/>
              <w:end w:w="120" w:type="dxa"/>
            </w:tcMar>
            <w:vAlign w:val="center"/>
          </w:tcPr>
          <w:p>
            <w:pPr>
              <w:spacing w:before="0" w:after="40" w:line="259" w:lineRule="auto"/>
            </w:pPr>
            <w:r>
              <w:rPr>
                <w:rFonts w:ascii="Calibri" w:hAnsi="Calibri"/>
                <w:color w:val="111827"/>
                <w:sz w:val="18"/>
              </w:rPr>
              <w:t>What quantity, unit rate and judgment created the amount?</w:t>
            </w:r>
          </w:p>
        </w:tc>
      </w:tr>
      <w:tr>
        <w:trPr>
          <w:cantSplit/>
        </w:trPr>
        <w:tc>
          <w:tcPr>
            <w:tcW w:type="dxa" w:w="2300"/>
            <w:tcMar>
              <w:top w:w="80" w:type="dxa"/>
              <w:start w:w="120" w:type="dxa"/>
              <w:bottom w:w="80" w:type="dxa"/>
              <w:end w:w="120" w:type="dxa"/>
            </w:tcMar>
            <w:vAlign w:val="center"/>
          </w:tcPr>
          <w:p>
            <w:pPr>
              <w:spacing w:before="0" w:after="40" w:line="259" w:lineRule="auto"/>
            </w:pPr>
            <w:r>
              <w:rPr>
                <w:rFonts w:ascii="Calibri" w:hAnsi="Calibri"/>
                <w:color w:val="111827"/>
                <w:sz w:val="18"/>
              </w:rPr>
              <w:t>For the decision</w:t>
            </w:r>
          </w:p>
        </w:tc>
        <w:tc>
          <w:tcPr>
            <w:tcW w:type="dxa" w:w="7060"/>
            <w:tcMar>
              <w:top w:w="80" w:type="dxa"/>
              <w:start w:w="120" w:type="dxa"/>
              <w:bottom w:w="80" w:type="dxa"/>
              <w:end w:w="120" w:type="dxa"/>
            </w:tcMar>
            <w:vAlign w:val="center"/>
          </w:tcPr>
          <w:p>
            <w:pPr>
              <w:spacing w:before="0" w:after="40" w:line="259" w:lineRule="auto"/>
            </w:pPr>
            <w:r>
              <w:rPr>
                <w:rFonts w:ascii="Calibri" w:hAnsi="Calibri"/>
                <w:color w:val="111827"/>
                <w:sz w:val="18"/>
              </w:rPr>
              <w:t>Why was the preferred bidder selected? What non-price factors mattered?</w:t>
            </w:r>
          </w:p>
        </w:tc>
      </w:tr>
      <w:tr>
        <w:trPr>
          <w:cantSplit/>
        </w:trPr>
        <w:tc>
          <w:tcPr>
            <w:tcW w:type="dxa" w:w="2300"/>
            <w:tcMar>
              <w:top w:w="80" w:type="dxa"/>
              <w:start w:w="120" w:type="dxa"/>
              <w:bottom w:w="80" w:type="dxa"/>
              <w:end w:w="120" w:type="dxa"/>
            </w:tcMar>
            <w:vAlign w:val="center"/>
          </w:tcPr>
          <w:p>
            <w:pPr>
              <w:spacing w:before="0" w:after="40" w:line="259" w:lineRule="auto"/>
            </w:pPr>
            <w:r>
              <w:rPr>
                <w:rFonts w:ascii="Calibri" w:hAnsi="Calibri"/>
                <w:color w:val="111827"/>
                <w:sz w:val="18"/>
              </w:rPr>
              <w:t>For the output</w:t>
            </w:r>
          </w:p>
        </w:tc>
        <w:tc>
          <w:tcPr>
            <w:tcW w:type="dxa" w:w="7060"/>
            <w:tcMar>
              <w:top w:w="80" w:type="dxa"/>
              <w:start w:w="120" w:type="dxa"/>
              <w:bottom w:w="80" w:type="dxa"/>
              <w:end w:w="120" w:type="dxa"/>
            </w:tcMar>
            <w:vAlign w:val="center"/>
          </w:tcPr>
          <w:p>
            <w:pPr>
              <w:spacing w:before="0" w:after="40" w:line="259" w:lineRule="auto"/>
            </w:pPr>
            <w:r>
              <w:rPr>
                <w:rFonts w:ascii="Calibri" w:hAnsi="Calibri"/>
                <w:color w:val="111827"/>
                <w:sz w:val="18"/>
              </w:rPr>
              <w:t>Which values moved to the Bid Sheet, budget and Exhibit A?</w:t>
            </w:r>
          </w:p>
        </w:tc>
      </w:tr>
    </w:tbl>
    <w:p>
      <w:pPr>
        <w:spacing w:after="40"/>
      </w:pPr>
    </w:p>
    <w:p>
      <w:pPr>
        <w:pStyle w:val="Heading2"/>
      </w:pPr>
      <w:r>
        <w:t>Your role in the automation</w:t>
      </w:r>
    </w:p>
    <w:p>
      <w:r>
        <w:rPr>
          <w:rFonts w:ascii="Calibri" w:hAnsi="Calibri"/>
          <w:color w:val="111827"/>
        </w:rPr>
        <w:t>You do not need to become a senior estimator before building anything. Your job is to make the decision process explicit: identify the input, capture the output, record the evidence and approval, and translate repetitive actions into software. Marcel remains the domain owner who validates whether the output is commercially correct.</w:t>
      </w:r>
    </w:p>
    <w:p>
      <w:r>
        <w:br w:type="page"/>
      </w:r>
    </w:p>
    <w:p>
      <w:pPr>
        <w:pStyle w:val="Heading1"/>
      </w:pPr>
      <w:r>
        <w:t>12. Questions for the next meeting</w:t>
      </w:r>
    </w:p>
    <w:p>
      <w:pPr>
        <w:spacing w:after="80" w:line="300" w:lineRule="auto"/>
        <w:ind w:left="540" w:hanging="271"/>
      </w:pPr>
      <w:r>
        <w:rPr>
          <w:rFonts w:ascii="Calibri" w:hAnsi="Calibri"/>
          <w:color w:val="111827"/>
        </w:rPr>
        <w:t xml:space="preserve">1.  </w:t>
      </w:r>
      <w:r>
        <w:rPr>
          <w:rFonts w:ascii="Calibri" w:hAnsi="Calibri"/>
          <w:color w:val="111827"/>
        </w:rPr>
        <w:t>Which exact project and trade are we using as the first acceptance test?</w:t>
      </w:r>
    </w:p>
    <w:p>
      <w:pPr>
        <w:spacing w:after="80" w:line="300" w:lineRule="auto"/>
        <w:ind w:left="540" w:hanging="271"/>
      </w:pPr>
      <w:r>
        <w:rPr>
          <w:rFonts w:ascii="Calibri" w:hAnsi="Calibri"/>
          <w:color w:val="111827"/>
        </w:rPr>
        <w:t xml:space="preserve">2.  </w:t>
      </w:r>
      <w:r>
        <w:rPr>
          <w:rFonts w:ascii="Calibri" w:hAnsi="Calibri"/>
          <w:color w:val="111827"/>
        </w:rPr>
        <w:t>Is the next deliverable sheet population only, or must it parse a proposal PDF?</w:t>
      </w:r>
    </w:p>
    <w:p>
      <w:pPr>
        <w:spacing w:after="80" w:line="300" w:lineRule="auto"/>
        <w:ind w:left="540" w:hanging="271"/>
      </w:pPr>
      <w:r>
        <w:rPr>
          <w:rFonts w:ascii="Calibri" w:hAnsi="Calibri"/>
          <w:color w:val="111827"/>
        </w:rPr>
        <w:t xml:space="preserve">3.  </w:t>
      </w:r>
      <w:r>
        <w:rPr>
          <w:rFonts w:ascii="Calibri" w:hAnsi="Calibri"/>
          <w:color w:val="111827"/>
        </w:rPr>
        <w:t>Which workbook is the production template, and which formulas/formatting must be preserved exactly?</w:t>
      </w:r>
    </w:p>
    <w:p>
      <w:pPr>
        <w:spacing w:after="80" w:line="300" w:lineRule="auto"/>
        <w:ind w:left="540" w:hanging="271"/>
      </w:pPr>
      <w:r>
        <w:rPr>
          <w:rFonts w:ascii="Calibri" w:hAnsi="Calibri"/>
          <w:color w:val="111827"/>
        </w:rPr>
        <w:t xml:space="preserve">4.  </w:t>
      </w:r>
      <w:r>
        <w:rPr>
          <w:rFonts w:ascii="Calibri" w:hAnsi="Calibri"/>
          <w:color w:val="111827"/>
        </w:rPr>
        <w:t>What does FULL SCOPE mean operationally, and who is allowed to set it?</w:t>
      </w:r>
    </w:p>
    <w:p>
      <w:pPr>
        <w:spacing w:after="80" w:line="300" w:lineRule="auto"/>
        <w:ind w:left="540" w:hanging="271"/>
      </w:pPr>
      <w:r>
        <w:rPr>
          <w:rFonts w:ascii="Calibri" w:hAnsi="Calibri"/>
          <w:color w:val="111827"/>
        </w:rPr>
        <w:t xml:space="preserve">5.  </w:t>
      </w:r>
      <w:r>
        <w:rPr>
          <w:rFonts w:ascii="Calibri" w:hAnsi="Calibri"/>
          <w:color w:val="111827"/>
        </w:rPr>
        <w:t>Can Y/N/P be entered by the subcontractor, the estimator, AI, or all three?</w:t>
      </w:r>
    </w:p>
    <w:p>
      <w:pPr>
        <w:spacing w:after="80" w:line="300" w:lineRule="auto"/>
        <w:ind w:left="540" w:hanging="271"/>
      </w:pPr>
      <w:r>
        <w:rPr>
          <w:rFonts w:ascii="Calibri" w:hAnsi="Calibri"/>
          <w:color w:val="111827"/>
        </w:rPr>
        <w:t xml:space="preserve">6.  </w:t>
      </w:r>
      <w:r>
        <w:rPr>
          <w:rFonts w:ascii="Calibri" w:hAnsi="Calibri"/>
          <w:color w:val="111827"/>
        </w:rPr>
        <w:t>What evidence is sufficient to mark Y? What conditions require P instead?</w:t>
      </w:r>
    </w:p>
    <w:p>
      <w:pPr>
        <w:spacing w:after="80" w:line="300" w:lineRule="auto"/>
        <w:ind w:left="540" w:hanging="271"/>
      </w:pPr>
      <w:r>
        <w:rPr>
          <w:rFonts w:ascii="Calibri" w:hAnsi="Calibri"/>
          <w:color w:val="111827"/>
        </w:rPr>
        <w:t xml:space="preserve">7.  </w:t>
      </w:r>
      <w:r>
        <w:rPr>
          <w:rFonts w:ascii="Calibri" w:hAnsi="Calibri"/>
          <w:color w:val="111827"/>
        </w:rPr>
        <w:t>How are missing-scope adjustments calculated today?</w:t>
      </w:r>
    </w:p>
    <w:p>
      <w:pPr>
        <w:spacing w:after="80" w:line="300" w:lineRule="auto"/>
        <w:ind w:left="540" w:hanging="271"/>
      </w:pPr>
      <w:r>
        <w:rPr>
          <w:rFonts w:ascii="Calibri" w:hAnsi="Calibri"/>
          <w:color w:val="111827"/>
        </w:rPr>
        <w:t xml:space="preserve">8.  </w:t>
      </w:r>
      <w:r>
        <w:rPr>
          <w:rFonts w:ascii="Calibri" w:hAnsi="Calibri"/>
          <w:color w:val="111827"/>
        </w:rPr>
        <w:t>Does bond always apply to base bid plus adjustments, and is 2% configurable?</w:t>
      </w:r>
    </w:p>
    <w:p>
      <w:pPr>
        <w:spacing w:after="80" w:line="300" w:lineRule="auto"/>
        <w:ind w:left="540" w:hanging="271"/>
      </w:pPr>
      <w:r>
        <w:rPr>
          <w:rFonts w:ascii="Calibri" w:hAnsi="Calibri"/>
          <w:color w:val="111827"/>
        </w:rPr>
        <w:t xml:space="preserve">9.  </w:t>
      </w:r>
      <w:r>
        <w:rPr>
          <w:rFonts w:ascii="Calibri" w:hAnsi="Calibri"/>
          <w:color w:val="111827"/>
        </w:rPr>
        <w:t>When are allowances and alternates included in the leveled total?</w:t>
      </w:r>
    </w:p>
    <w:p>
      <w:pPr>
        <w:spacing w:after="80" w:line="300" w:lineRule="auto"/>
        <w:ind w:left="540" w:hanging="271"/>
      </w:pPr>
      <w:r>
        <w:rPr>
          <w:rFonts w:ascii="Calibri" w:hAnsi="Calibri"/>
          <w:color w:val="111827"/>
        </w:rPr>
        <w:t xml:space="preserve">10.  </w:t>
      </w:r>
      <w:r>
        <w:rPr>
          <w:rFonts w:ascii="Calibri" w:hAnsi="Calibri"/>
          <w:color w:val="111827"/>
        </w:rPr>
        <w:t>Which bidder value is copied into the Bid Sheet: lowest leveled, selected bidder, or manual budget?</w:t>
      </w:r>
    </w:p>
    <w:p>
      <w:pPr>
        <w:spacing w:after="80" w:line="300" w:lineRule="auto"/>
        <w:ind w:left="540" w:hanging="271"/>
      </w:pPr>
      <w:r>
        <w:rPr>
          <w:rFonts w:ascii="Calibri" w:hAnsi="Calibri"/>
          <w:color w:val="111827"/>
        </w:rPr>
        <w:t xml:space="preserve">11.  </w:t>
      </w:r>
      <w:r>
        <w:rPr>
          <w:rFonts w:ascii="Calibri" w:hAnsi="Calibri"/>
          <w:color w:val="111827"/>
        </w:rPr>
        <w:t>What must be completed before a bidder can be ranked?</w:t>
      </w:r>
    </w:p>
    <w:p>
      <w:pPr>
        <w:spacing w:after="80" w:line="300" w:lineRule="auto"/>
        <w:ind w:left="540" w:hanging="271"/>
      </w:pPr>
      <w:r>
        <w:rPr>
          <w:rFonts w:ascii="Calibri" w:hAnsi="Calibri"/>
          <w:color w:val="111827"/>
        </w:rPr>
        <w:t xml:space="preserve">12.  </w:t>
      </w:r>
      <w:r>
        <w:rPr>
          <w:rFonts w:ascii="Calibri" w:hAnsi="Calibri"/>
          <w:color w:val="111827"/>
        </w:rPr>
        <w:t>Which proposal formats and email patterns are most common?</w:t>
      </w:r>
    </w:p>
    <w:p>
      <w:pPr>
        <w:spacing w:after="80" w:line="300" w:lineRule="auto"/>
        <w:ind w:left="540" w:hanging="271"/>
      </w:pPr>
      <w:r>
        <w:rPr>
          <w:rFonts w:ascii="Calibri" w:hAnsi="Calibri"/>
          <w:color w:val="111827"/>
        </w:rPr>
        <w:t xml:space="preserve">13.  </w:t>
      </w:r>
      <w:r>
        <w:rPr>
          <w:rFonts w:ascii="Calibri" w:hAnsi="Calibri"/>
          <w:color w:val="111827"/>
        </w:rPr>
        <w:t>What may legally be used from Wyre AI and the prior development team?</w:t>
      </w:r>
    </w:p>
    <w:p>
      <w:pPr>
        <w:spacing w:after="80" w:line="300" w:lineRule="auto"/>
        <w:ind w:left="540" w:hanging="271"/>
      </w:pPr>
      <w:r>
        <w:rPr>
          <w:rFonts w:ascii="Calibri" w:hAnsi="Calibri"/>
          <w:color w:val="111827"/>
        </w:rPr>
        <w:t xml:space="preserve">14.  </w:t>
      </w:r>
      <w:r>
        <w:rPr>
          <w:rFonts w:ascii="Calibri" w:hAnsi="Calibri"/>
          <w:color w:val="111827"/>
        </w:rPr>
        <w:t>Who approves scopes, adjustments, budget values and Exhibit A?</w:t>
      </w:r>
    </w:p>
    <w:p>
      <w:pPr>
        <w:spacing w:after="80" w:line="300" w:lineRule="auto"/>
        <w:ind w:left="540" w:hanging="271"/>
      </w:pPr>
      <w:r>
        <w:rPr>
          <w:rFonts w:ascii="Calibri" w:hAnsi="Calibri"/>
          <w:color w:val="111827"/>
        </w:rPr>
        <w:t xml:space="preserve">15.  </w:t>
      </w:r>
      <w:r>
        <w:rPr>
          <w:rFonts w:ascii="Calibri" w:hAnsi="Calibri"/>
          <w:color w:val="111827"/>
        </w:rPr>
        <w:t>What measurable accuracy would make the first AI pilot successful?</w:t>
      </w:r>
    </w:p>
    <w:p>
      <w:pPr>
        <w:pStyle w:val="Heading2"/>
      </w:pPr>
      <w:r>
        <w:t>A 30-second explanation you can repeat</w:t>
      </w:r>
    </w:p>
    <w:tbl>
      <w:tblPr>
        <w:tblW w:type="dxa" w:w="9360"/>
        <w:jc w:val="left"/>
        <w:tblLayout w:type="fixed"/>
        <w:tblLook w:firstColumn="1" w:firstRow="1" w:lastColumn="0" w:lastRow="0" w:noHBand="0" w:noVBand="1" w:val="04A0"/>
        <w:tblInd w:w="120" w:type="dxa"/>
        <w:tblBorders>
          <w:top w:val="single" w:sz="10" w:space="0" w:color="F26B2B"/>
          <w:left w:val="single" w:sz="10" w:space="0" w:color="F26B2B"/>
          <w:bottom w:val="single" w:sz="10" w:space="0" w:color="F26B2B"/>
          <w:right w:val="single" w:sz="10" w:space="0" w:color="F26B2B"/>
          <w:insideH w:val="single" w:sz="10" w:space="0" w:color="F26B2B"/>
          <w:insideV w:val="single" w:sz="10" w:space="0" w:color="F26B2B"/>
        </w:tblBorders>
      </w:tblPr>
      <w:tblGrid>
        <w:gridCol w:w="9360"/>
      </w:tblGrid>
      <w:tr>
        <w:tc>
          <w:tcPr>
            <w:tcW w:type="dxa" w:w="9360"/>
            <w:shd w:fill="F4F6F9"/>
            <w:tcMar>
              <w:top w:w="80" w:type="dxa"/>
              <w:start w:w="120" w:type="dxa"/>
              <w:bottom w:w="80" w:type="dxa"/>
              <w:end w:w="120" w:type="dxa"/>
            </w:tcMar>
          </w:tcPr>
          <w:p>
            <w:pPr>
              <w:spacing w:after="0"/>
            </w:pPr>
            <w:r/>
            <w:r>
              <w:rPr>
                <w:rFonts w:ascii="Calibri" w:hAnsi="Calibri"/>
                <w:b/>
                <w:color w:val="F26B2B"/>
                <w:sz w:val="21"/>
              </w:rPr>
              <w:t xml:space="preserve">SCRIPT  </w:t>
            </w:r>
            <w:r>
              <w:rPr>
                <w:rFonts w:ascii="Calibri" w:hAnsi="Calibri"/>
                <w:color w:val="111827"/>
                <w:sz w:val="21"/>
              </w:rPr>
              <w:t>Marcel receives construction drawings and needs to buy dozens of specialist trades. He writes a checklist for each trade, receives several proposals, and compares every proposal against the same checklist so a cheap bid cannot hide missing work. Today that comparison is entered manually into Excel. We are building a web app that structures the data, helps read drawings and proposals, drafts the comparison with evidence, calculates the leveled totals, and exports the approved result back to his workbook and eventually the contract.</w:t>
            </w:r>
          </w:p>
        </w:tc>
      </w:tr>
    </w:tbl>
    <w:p>
      <w:pPr>
        <w:spacing w:after="20"/>
      </w:pPr>
    </w:p>
    <w:p>
      <w:pPr>
        <w:pStyle w:val="Heading1"/>
      </w:pPr>
      <w:r>
        <w:t>Glossary</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Term</w:t>
            </w:r>
          </w:p>
        </w:tc>
        <w:tc>
          <w:tcPr>
            <w:tcW w:type="dxa" w:w="71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Plain-English definition</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Addendum</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A formal change or clarification issued during bidding.</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Allowance</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A placeholder amount for uncertain or not-yet-defined work.</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Alternate</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A separately priced optional add or deduct.</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Base bid</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The subcontractor's primary submitted price before internal leveling adjustments.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Bid captain</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The person coordinating the overall project estimate and bid process.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Bid leveling</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Making proposals comparable against the same required scope.</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Bond</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Financial security cost applied according to project/company rules; 2% in the Jelleff template.</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CSI division</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Standard construction category used to organize work and specifications.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Exclusion</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Work the bidder explicitly says is not included.</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Exhibit A</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The subcontract's trade-specific scope attachment.</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GC</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General contractor.</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GCs / GRs</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General Conditions and General Requirements: the GC's project-management and jobsite costs.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GSF</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Gross square feet of the project.</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Leveled total</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Comparable internal total after approved adjustments and bond rules.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Proposal qualification</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A condition or assumption limiting the bidder's offer.</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RFI</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Request for Information.</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Scope crossover</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Work whose trade ownership is ambiguous or shared.</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Scope item</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One requirement in a trade's master checklist.</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Subcontractor</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Specialist company performing one part of the construction.</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Takeoff</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Measured quantity derived from scaled drawings.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Trade</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A package of related construction work purchased from a specialist.</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UOM</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Unit of measure, such as SF, LF, CY, EA or LS.</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VE</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Value engineering.</w:t>
            </w:r>
          </w:p>
        </w:tc>
      </w:tr>
      <w:tr>
        <w:trPr>
          <w:cantSplit/>
        </w:trPr>
        <w:tc>
          <w:tcPr>
            <w:tcW w:type="dxa" w:w="2200"/>
            <w:tcMar>
              <w:top w:w="80" w:type="dxa"/>
              <w:start w:w="120" w:type="dxa"/>
              <w:bottom w:w="80" w:type="dxa"/>
              <w:end w:w="120" w:type="dxa"/>
            </w:tcMar>
            <w:vAlign w:val="center"/>
          </w:tcPr>
          <w:p>
            <w:pPr>
              <w:spacing w:before="0" w:after="40" w:line="259" w:lineRule="auto"/>
            </w:pPr>
            <w:r>
              <w:rPr>
                <w:rFonts w:ascii="Calibri" w:hAnsi="Calibri"/>
                <w:color w:val="111827"/>
                <w:sz w:val="18"/>
              </w:rPr>
              <w:t>Y/N/P</w:t>
            </w:r>
          </w:p>
        </w:tc>
        <w:tc>
          <w:tcPr>
            <w:tcW w:type="dxa" w:w="7160"/>
            <w:tcMar>
              <w:top w:w="80" w:type="dxa"/>
              <w:start w:w="120" w:type="dxa"/>
              <w:bottom w:w="80" w:type="dxa"/>
              <w:end w:w="120" w:type="dxa"/>
            </w:tcMar>
            <w:vAlign w:val="center"/>
          </w:tcPr>
          <w:p>
            <w:pPr>
              <w:spacing w:before="0" w:after="40" w:line="259" w:lineRule="auto"/>
            </w:pPr>
            <w:r>
              <w:rPr>
                <w:rFonts w:ascii="Calibri" w:hAnsi="Calibri"/>
                <w:color w:val="111827"/>
                <w:sz w:val="18"/>
              </w:rPr>
              <w:t>Included / not included / partially included.</w:t>
            </w:r>
          </w:p>
        </w:tc>
      </w:tr>
    </w:tbl>
    <w:p>
      <w:pPr>
        <w:spacing w:after="40"/>
      </w:pPr>
    </w:p>
    <w:p>
      <w:pPr>
        <w:pStyle w:val="Heading1"/>
      </w:pPr>
      <w:r>
        <w:t>Sources and limitations</w:t>
      </w:r>
    </w:p>
    <w:p>
      <w:r>
        <w:rPr>
          <w:rFonts w:ascii="Calibri" w:hAnsi="Calibri"/>
          <w:color w:val="111827"/>
        </w:rPr>
        <w:t>This guide was prepared from the timestamped Zoom transcript for the 26 August 2026 discovery meeting, the Jelleff Rec Live Bid sheet.xlsx workbook, the verified shared-source inventory, and the current Structor prototype documentation. Workbook formulas and cached values were inspected directly.</w:t>
      </w:r>
    </w:p>
    <w:p>
      <w:r>
        <w:rPr>
          <w:rFonts w:ascii="Calibri" w:hAnsi="Calibri"/>
          <w:color w:val="111827"/>
        </w:rPr>
        <w:t>The local MP4 recording could not be opened through the available browser because local-file playback was blocked by security policy, and the in-app Drive session required sign-in. Therefore, exact claims about the meeting are based on the complete timestamped transcript rather than unverified visual inference. The workbook and locally retained project materials were inspected directly.</w:t>
      </w:r>
    </w:p>
    <w:p>
      <w:r>
        <w:rPr>
          <w:rFonts w:ascii="Calibri" w:hAnsi="Calibri"/>
          <w:color w:val="111827"/>
        </w:rPr>
        <w:t>Some transcript speaker labels appear imperfect, especially where a statement addressed to Marcel is labeled as Marcel speaking. Requirements are attributed by substance rather than assuming every speaker tag is exact.</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800"/>
        <w:gridCol w:w="6560"/>
      </w:tblGrid>
      <w:tr>
        <w:trPr>
          <w:tblHeader w:val="true"/>
          <w:cantSplit/>
        </w:trPr>
        <w:tc>
          <w:tcPr>
            <w:tcW w:type="dxa" w:w="280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Source</w:t>
            </w:r>
          </w:p>
        </w:tc>
        <w:tc>
          <w:tcPr>
            <w:tcW w:type="dxa" w:w="6560"/>
            <w:tcMar>
              <w:top w:w="80" w:type="dxa"/>
              <w:start w:w="120" w:type="dxa"/>
              <w:bottom w:w="80" w:type="dxa"/>
              <w:end w:w="120" w:type="dxa"/>
            </w:tcMar>
            <w:vAlign w:val="center"/>
            <w:shd w:fill="E8EEF5"/>
          </w:tcPr>
          <w:p>
            <w:pPr>
              <w:keepNext/>
              <w:spacing w:before="0" w:after="40" w:line="259" w:lineRule="auto"/>
            </w:pPr>
            <w:r>
              <w:rPr>
                <w:rFonts w:ascii="Calibri" w:hAnsi="Calibri"/>
                <w:b/>
                <w:color w:val="0B2545"/>
                <w:sz w:val="18"/>
              </w:rPr>
              <w:t>Used for</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111827"/>
                <w:sz w:val="18"/>
              </w:rPr>
              <w:t>Zoom transcript</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111827"/>
                <w:sz w:val="18"/>
              </w:rPr>
              <w:t>Meeting statements, terminology, requested product capabilities, and commitments; 18:02–18:38.</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111827"/>
                <w:sz w:val="18"/>
              </w:rPr>
              <w:t>Jelleff Rec Live Bid sheet.xlsx</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111827"/>
                <w:sz w:val="18"/>
              </w:rPr>
              <w:t>Workbook sheets, formulas, bidder structure, budget roll-ups, RFI log, and trade tabs.</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111827"/>
                <w:sz w:val="18"/>
              </w:rPr>
              <w:t>SOURCE_MATERIALS.md</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111827"/>
                <w:sz w:val="18"/>
              </w:rPr>
              <w:t>Verified shared-folder inventory dated 31 August 2026 and recommended golden dataset.</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111827"/>
                <w:sz w:val="18"/>
              </w:rPr>
              <w:t>README.md</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111827"/>
                <w:sz w:val="18"/>
              </w:rPr>
              <w:t>Current prototype boundary, implementation status, roadmap, and source caveats.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STRUCTOR AI  |  BEGINNER'S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70"/>
        <w:spacing w:after="80" w:line="300" w:lineRule="auto"/>
      </w:pPr>
      <w:rPr>
        <w:rFonts w:ascii="Symbol" w:hAnsi="Symbol"/>
      </w:rPr>
    </w:lvl>
    <w:lvl w:ilvl="1">
      <w:start w:val="1"/>
      <w:numFmt w:val="bullet"/>
      <w:lvlText w:val=""/>
      <w:suff w:val="tab"/>
      <w:pPr>
        <w:tabs>
          <w:tab w:val="num" w:pos="900"/>
        </w:tabs>
        <w:ind w:left="900" w:hanging="270"/>
        <w:spacing w:after="80" w:line="300" w:lineRule="auto"/>
      </w:pPr>
      <w:rPr>
        <w:rFonts w:ascii="Symbol" w:hAnsi="Symbol"/>
      </w:rPr>
    </w:lvl>
    <w:lvl w:ilvl="2">
      <w:start w:val="1"/>
      <w:numFmt w:val="bullet"/>
      <w:lvlText w:val=""/>
      <w:suff w:val="tab"/>
      <w:pPr>
        <w:tabs>
          <w:tab w:val="num" w:pos="1260"/>
        </w:tabs>
        <w:ind w:left="1260" w:hanging="270"/>
        <w:spacing w:after="80" w:line="300" w:lineRule="auto"/>
      </w:pPr>
      <w:rPr>
        <w:rFonts w:ascii="Symbol" w:hAnsi="Symbol"/>
      </w:rPr>
    </w:lvl>
  </w:abstractNum>
  <w:abstractNum w:abstractNumId="10">
    <w:multiLevelType w:val="multilevel"/>
    <w:lvl w:ilvl="0">
      <w:start w:val="1"/>
      <w:numFmt w:val="decimal"/>
      <w:lvlText w:val="%1."/>
      <w:suff w:val="tab"/>
      <w:pPr>
        <w:tabs>
          <w:tab w:val="num" w:pos="540"/>
        </w:tabs>
        <w:ind w:left="540" w:hanging="270"/>
        <w:spacing w:after="80" w:line="300" w:lineRule="auto"/>
      </w:pPr>
    </w:lvl>
    <w:lvl w:ilvl="1">
      <w:start w:val="1"/>
      <w:numFmt w:val="decimal"/>
      <w:lvlText w:val="%2."/>
      <w:suff w:val="tab"/>
      <w:pPr>
        <w:tabs>
          <w:tab w:val="num" w:pos="900"/>
        </w:tabs>
        <w:ind w:left="900" w:hanging="270"/>
        <w:spacing w:after="80" w:line="300" w:lineRule="auto"/>
      </w:pPr>
    </w:lvl>
    <w:lvl w:ilvl="2">
      <w:start w:val="1"/>
      <w:numFmt w:val="decimal"/>
      <w:lvlText w:val="%3."/>
      <w:suff w:val="tab"/>
      <w:pPr>
        <w:tabs>
          <w:tab w:val="num" w:pos="1260"/>
        </w:tabs>
        <w:ind w:left="1260" w:hanging="270"/>
        <w:spacing w:after="80" w:line="300" w:lineRule="auto"/>
      </w:pPr>
    </w:lvl>
  </w:abstractNum>
  <w:num w:numId="50">
    <w:abstractNumId w:val="9"/>
  </w:num>
  <w:num w:numId="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200"/>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Structor AI</dc:title>
  <dc:subject>Beginner's guide to Marcel Khoury's preconstruction workflow and the promised automation</dc:subject>
  <dc:creator>Synix Solutions</dc:creator>
  <cp:keywords>preconstruction, bid leveling, scope of work, Structor AI, Jelleff</cp:keywords>
  <dc:description>generated by python-docx</dc:description>
  <cp:lastModifiedBy/>
  <cp:revision>1</cp:revision>
  <dcterms:created xsi:type="dcterms:W3CDTF">2013-12-23T23:15:00Z</dcterms:created>
  <dcterms:modified xsi:type="dcterms:W3CDTF">2013-12-23T23:15:00Z</dcterms:modified>
  <cp:category/>
</cp:coreProperties>
</file>