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F4A478" w14:textId="77777777" w:rsidR="005A6192" w:rsidRPr="005A6192" w:rsidRDefault="005A6192" w:rsidP="005523DC">
      <w:pPr>
        <w:spacing w:after="0" w:line="240" w:lineRule="auto"/>
        <w:rPr>
          <w:rFonts w:ascii="Calibri" w:hAnsi="Calibri" w:cs="Calibri"/>
          <w:b/>
          <w:bCs/>
          <w:sz w:val="36"/>
          <w:szCs w:val="36"/>
        </w:rPr>
      </w:pPr>
    </w:p>
    <w:p w14:paraId="33734618" w14:textId="27C7D9A0" w:rsidR="00E67616" w:rsidRPr="005A6192" w:rsidRDefault="00E67616" w:rsidP="005523DC">
      <w:pPr>
        <w:spacing w:after="0" w:line="240" w:lineRule="auto"/>
        <w:rPr>
          <w:rFonts w:ascii="Calibri" w:hAnsi="Calibri" w:cs="Calibri"/>
          <w:b/>
          <w:bCs/>
          <w:sz w:val="36"/>
          <w:szCs w:val="36"/>
        </w:rPr>
      </w:pPr>
      <w:r w:rsidRPr="005A6192">
        <w:rPr>
          <w:rFonts w:ascii="Calibri" w:hAnsi="Calibri" w:cs="Calibri"/>
          <w:b/>
          <w:bCs/>
          <w:sz w:val="36"/>
          <w:szCs w:val="36"/>
        </w:rPr>
        <w:t xml:space="preserve">Park Network Configuration and the Spatial Distribution of Commercial Activity: </w:t>
      </w:r>
    </w:p>
    <w:p w14:paraId="372E72C1" w14:textId="06D0F8FE" w:rsidR="00E67616" w:rsidRPr="005A6192" w:rsidRDefault="00E67616" w:rsidP="005523DC">
      <w:pPr>
        <w:spacing w:after="0" w:line="240" w:lineRule="auto"/>
        <w:rPr>
          <w:rFonts w:ascii="Calibri" w:hAnsi="Calibri" w:cs="Calibri"/>
          <w:b/>
          <w:bCs/>
          <w:sz w:val="28"/>
          <w:szCs w:val="28"/>
        </w:rPr>
      </w:pPr>
      <w:r w:rsidRPr="005A6192">
        <w:rPr>
          <w:rFonts w:ascii="Calibri" w:hAnsi="Calibri" w:cs="Calibri"/>
          <w:b/>
          <w:bCs/>
          <w:sz w:val="28"/>
          <w:szCs w:val="28"/>
        </w:rPr>
        <w:t>A Comparative Analysis Across New York City</w:t>
      </w:r>
    </w:p>
    <w:p w14:paraId="2CCA858E" w14:textId="77777777" w:rsidR="00E67616" w:rsidRPr="005A6192" w:rsidRDefault="00E67616" w:rsidP="005523DC">
      <w:pPr>
        <w:spacing w:after="0" w:line="240" w:lineRule="auto"/>
        <w:rPr>
          <w:rFonts w:ascii="Calibri" w:hAnsi="Calibri" w:cs="Calibri"/>
          <w:b/>
          <w:bCs/>
          <w:color w:val="0070C0"/>
        </w:rPr>
      </w:pPr>
    </w:p>
    <w:p w14:paraId="234E9B5F" w14:textId="77777777" w:rsidR="00E67616" w:rsidRPr="005A6192" w:rsidRDefault="00F92F90" w:rsidP="00E67616">
      <w:pPr>
        <w:spacing w:after="0" w:line="240" w:lineRule="auto"/>
        <w:rPr>
          <w:rFonts w:ascii="Calibri" w:hAnsi="Calibri" w:cs="Calibri"/>
          <w:b/>
          <w:bCs/>
          <w:color w:val="0070C0"/>
        </w:rPr>
      </w:pPr>
      <w:r w:rsidRPr="005A6192">
        <w:rPr>
          <w:rFonts w:ascii="Calibri" w:hAnsi="Calibri" w:cs="Calibri"/>
          <w:b/>
          <w:bCs/>
          <w:color w:val="0070C0"/>
        </w:rPr>
        <w:t>Overview</w:t>
      </w:r>
    </w:p>
    <w:p w14:paraId="24D74B6F" w14:textId="6F9DD782" w:rsidR="005A6192" w:rsidRPr="005A6192" w:rsidRDefault="005A6192" w:rsidP="005A6192">
      <w:pPr>
        <w:spacing w:line="240" w:lineRule="auto"/>
        <w:ind w:firstLine="720"/>
        <w:rPr>
          <w:rFonts w:ascii="Calibri" w:hAnsi="Calibri" w:cs="Calibri"/>
          <w:sz w:val="22"/>
          <w:szCs w:val="22"/>
        </w:rPr>
      </w:pPr>
      <w:r w:rsidRPr="005A6192">
        <w:rPr>
          <w:rFonts w:ascii="Calibri" w:hAnsi="Calibri" w:cs="Calibri"/>
          <w:sz w:val="22"/>
          <w:szCs w:val="22"/>
        </w:rPr>
        <w:t xml:space="preserve">This study examines whether the spatial configuration of park networks is associated with surrounding commercial activity beyond the effects of park supply and general locational conditions. Existing research has documented relationships between individual parks and nearby commercial activity, but less attention has </w:t>
      </w:r>
      <w:r w:rsidRPr="005A6192">
        <w:rPr>
          <w:rFonts w:ascii="Calibri" w:hAnsi="Calibri" w:cs="Calibri"/>
          <w:sz w:val="22"/>
          <w:szCs w:val="22"/>
        </w:rPr>
        <w:t>focused</w:t>
      </w:r>
      <w:r w:rsidRPr="005A6192">
        <w:rPr>
          <w:rFonts w:ascii="Calibri" w:hAnsi="Calibri" w:cs="Calibri"/>
          <w:sz w:val="22"/>
          <w:szCs w:val="22"/>
        </w:rPr>
        <w:t xml:space="preserve"> </w:t>
      </w:r>
      <w:r w:rsidRPr="005A6192">
        <w:rPr>
          <w:rFonts w:ascii="Calibri" w:hAnsi="Calibri" w:cs="Calibri"/>
          <w:sz w:val="22"/>
          <w:szCs w:val="22"/>
        </w:rPr>
        <w:t>on</w:t>
      </w:r>
      <w:r w:rsidRPr="005A6192">
        <w:rPr>
          <w:rFonts w:ascii="Calibri" w:hAnsi="Calibri" w:cs="Calibri"/>
          <w:sz w:val="22"/>
          <w:szCs w:val="22"/>
        </w:rPr>
        <w:t xml:space="preserve"> whether parks function differently when they form connected systems rather than isolated amenities.</w:t>
      </w:r>
    </w:p>
    <w:p w14:paraId="3AACF33D" w14:textId="43439FEC" w:rsidR="005A6192" w:rsidRDefault="005A6192" w:rsidP="005A6192">
      <w:pPr>
        <w:spacing w:line="240" w:lineRule="auto"/>
        <w:ind w:firstLine="720"/>
        <w:rPr>
          <w:rFonts w:ascii="Calibri" w:hAnsi="Calibri" w:cs="Calibri"/>
          <w:sz w:val="22"/>
          <w:szCs w:val="22"/>
        </w:rPr>
      </w:pPr>
      <w:r w:rsidRPr="005A6192">
        <w:rPr>
          <w:rFonts w:ascii="Calibri" w:hAnsi="Calibri" w:cs="Calibri"/>
          <w:sz w:val="22"/>
          <w:szCs w:val="22"/>
        </w:rPr>
        <w:t>The paper tests whether areas with comparable levels of park provision exhibit different patterns of commercial agglomeration, measured by establishment density and business diversity, and commercial vitality, measured by visitation to commercial POIs, depending on the configuration of nearby parks.</w:t>
      </w:r>
    </w:p>
    <w:p w14:paraId="42428A4B" w14:textId="77777777" w:rsidR="005A6192" w:rsidRPr="005A6192" w:rsidRDefault="005A6192" w:rsidP="005A6192">
      <w:pPr>
        <w:spacing w:line="240" w:lineRule="auto"/>
        <w:ind w:firstLine="720"/>
        <w:rPr>
          <w:rFonts w:ascii="Calibri" w:hAnsi="Calibri" w:cs="Calibri"/>
          <w:sz w:val="22"/>
          <w:szCs w:val="22"/>
        </w:rPr>
      </w:pPr>
    </w:p>
    <w:p w14:paraId="65CFC33F" w14:textId="3E7A6DEB" w:rsidR="00F92F90" w:rsidRPr="005A6192" w:rsidRDefault="00F92F90" w:rsidP="005523DC">
      <w:pPr>
        <w:spacing w:after="0" w:line="240" w:lineRule="auto"/>
        <w:rPr>
          <w:rFonts w:ascii="Calibri" w:hAnsi="Calibri" w:cs="Calibri"/>
          <w:b/>
          <w:bCs/>
          <w:color w:val="0070C0"/>
        </w:rPr>
      </w:pPr>
      <w:r w:rsidRPr="005A6192">
        <w:rPr>
          <w:rFonts w:ascii="Calibri" w:hAnsi="Calibri" w:cs="Calibri"/>
          <w:b/>
          <w:bCs/>
          <w:color w:val="0070C0"/>
        </w:rPr>
        <w:t>Research Questions</w:t>
      </w:r>
    </w:p>
    <w:p w14:paraId="426B478B" w14:textId="77777777" w:rsidR="005A6192" w:rsidRPr="005A6192" w:rsidRDefault="005A6192" w:rsidP="005A6192">
      <w:pPr>
        <w:pStyle w:val="ListParagraph"/>
        <w:numPr>
          <w:ilvl w:val="0"/>
          <w:numId w:val="9"/>
        </w:numPr>
        <w:spacing w:after="0" w:line="240" w:lineRule="auto"/>
        <w:rPr>
          <w:rFonts w:ascii="Calibri" w:hAnsi="Calibri" w:cs="Calibri"/>
          <w:sz w:val="22"/>
          <w:szCs w:val="22"/>
        </w:rPr>
      </w:pPr>
      <w:r w:rsidRPr="005A6192">
        <w:rPr>
          <w:rFonts w:ascii="Calibri" w:hAnsi="Calibri" w:cs="Calibri"/>
          <w:sz w:val="22"/>
          <w:szCs w:val="22"/>
        </w:rPr>
        <w:t xml:space="preserve">How is park-network configuration associated with the density and diversity of surrounding commercial establishments? </w:t>
      </w:r>
    </w:p>
    <w:p w14:paraId="4511BDC2" w14:textId="77777777" w:rsidR="005A6192" w:rsidRPr="005A6192" w:rsidRDefault="005A6192" w:rsidP="005A6192">
      <w:pPr>
        <w:pStyle w:val="ListParagraph"/>
        <w:numPr>
          <w:ilvl w:val="0"/>
          <w:numId w:val="9"/>
        </w:numPr>
        <w:spacing w:after="0" w:line="240" w:lineRule="auto"/>
        <w:rPr>
          <w:rFonts w:ascii="Calibri" w:hAnsi="Calibri" w:cs="Calibri"/>
          <w:sz w:val="22"/>
          <w:szCs w:val="22"/>
        </w:rPr>
      </w:pPr>
      <w:r w:rsidRPr="005A6192">
        <w:rPr>
          <w:rFonts w:ascii="Calibri" w:hAnsi="Calibri" w:cs="Calibri"/>
          <w:sz w:val="22"/>
          <w:szCs w:val="22"/>
        </w:rPr>
        <w:t xml:space="preserve">How do commercial visitation patterns differ across park-network configurations? </w:t>
      </w:r>
    </w:p>
    <w:p w14:paraId="77253897" w14:textId="3C5FDF99" w:rsidR="00E67616" w:rsidRDefault="005A6192" w:rsidP="005A6192">
      <w:pPr>
        <w:pStyle w:val="ListParagraph"/>
        <w:numPr>
          <w:ilvl w:val="0"/>
          <w:numId w:val="9"/>
        </w:numPr>
        <w:spacing w:after="0" w:line="240" w:lineRule="auto"/>
        <w:rPr>
          <w:rFonts w:ascii="Calibri" w:hAnsi="Calibri" w:cs="Calibri"/>
          <w:sz w:val="22"/>
          <w:szCs w:val="22"/>
        </w:rPr>
      </w:pPr>
      <w:r w:rsidRPr="005A6192">
        <w:rPr>
          <w:rFonts w:ascii="Calibri" w:hAnsi="Calibri" w:cs="Calibri"/>
          <w:sz w:val="22"/>
          <w:szCs w:val="22"/>
        </w:rPr>
        <w:t>Are these relationships consistent across alternative definitions of connectivity, including walking distance, street-axis continuity, and directional change?</w:t>
      </w:r>
    </w:p>
    <w:p w14:paraId="20A8C632" w14:textId="77777777" w:rsidR="005A6192" w:rsidRPr="005A6192" w:rsidRDefault="005A6192" w:rsidP="005A6192">
      <w:pPr>
        <w:pStyle w:val="ListParagraph"/>
        <w:spacing w:after="0" w:line="240" w:lineRule="auto"/>
        <w:rPr>
          <w:rFonts w:ascii="Calibri" w:hAnsi="Calibri" w:cs="Calibri"/>
          <w:sz w:val="22"/>
          <w:szCs w:val="22"/>
        </w:rPr>
      </w:pPr>
    </w:p>
    <w:p w14:paraId="0DC5E223" w14:textId="77777777" w:rsidR="00E67616" w:rsidRPr="005A6192" w:rsidRDefault="0024735F" w:rsidP="00E67616">
      <w:pPr>
        <w:spacing w:after="0" w:line="240" w:lineRule="auto"/>
        <w:rPr>
          <w:rFonts w:ascii="Calibri" w:hAnsi="Calibri" w:cs="Calibri" w:hint="eastAsia"/>
          <w:b/>
          <w:bCs/>
          <w:color w:val="0070C0"/>
        </w:rPr>
      </w:pPr>
      <w:r w:rsidRPr="005A6192">
        <w:rPr>
          <w:rFonts w:ascii="Calibri" w:hAnsi="Calibri" w:cs="Calibri"/>
          <w:b/>
          <w:bCs/>
          <w:color w:val="0070C0"/>
        </w:rPr>
        <w:t>Data</w:t>
      </w:r>
    </w:p>
    <w:p w14:paraId="1F912E12" w14:textId="77777777" w:rsidR="00E67616" w:rsidRPr="005A6192" w:rsidRDefault="00E67616" w:rsidP="00E67616">
      <w:pPr>
        <w:spacing w:after="0" w:line="240" w:lineRule="auto"/>
        <w:rPr>
          <w:rFonts w:ascii="Calibri" w:hAnsi="Calibri" w:cs="Calibri"/>
          <w:b/>
          <w:bCs/>
          <w:color w:val="0070C0"/>
        </w:rPr>
      </w:pPr>
      <w:r w:rsidRPr="005A6192">
        <w:rPr>
          <w:rFonts w:ascii="Calibri" w:hAnsi="Calibri" w:cs="Calibri"/>
          <w:b/>
          <w:bCs/>
          <w:kern w:val="0"/>
          <w:sz w:val="22"/>
          <w:szCs w:val="22"/>
          <w14:ligatures w14:val="none"/>
        </w:rPr>
        <w:t>Primary Data</w:t>
      </w:r>
    </w:p>
    <w:p w14:paraId="6094D46E" w14:textId="77777777" w:rsidR="00E67616" w:rsidRPr="005A6192" w:rsidRDefault="00E67616" w:rsidP="00E67616">
      <w:pPr>
        <w:pStyle w:val="ListParagraph"/>
        <w:numPr>
          <w:ilvl w:val="0"/>
          <w:numId w:val="5"/>
        </w:numPr>
        <w:spacing w:after="0" w:line="240" w:lineRule="auto"/>
        <w:rPr>
          <w:rFonts w:ascii="Calibri" w:hAnsi="Calibri" w:cs="Calibri"/>
          <w:b/>
          <w:bCs/>
          <w:color w:val="0070C0"/>
        </w:rPr>
      </w:pPr>
      <w:r w:rsidRPr="005A6192">
        <w:rPr>
          <w:rFonts w:ascii="Calibri" w:hAnsi="Calibri" w:cs="Calibri"/>
          <w:kern w:val="0"/>
          <w:sz w:val="22"/>
          <w:szCs w:val="22"/>
          <w14:ligatures w14:val="none"/>
        </w:rPr>
        <w:t xml:space="preserve">NYC Parks Properties, NYC Open Data: park locations and boundaries </w:t>
      </w:r>
    </w:p>
    <w:p w14:paraId="0F42D82E" w14:textId="77777777" w:rsidR="00E67616" w:rsidRPr="005A6192" w:rsidRDefault="00E67616" w:rsidP="00E67616">
      <w:pPr>
        <w:pStyle w:val="ListParagraph"/>
        <w:numPr>
          <w:ilvl w:val="0"/>
          <w:numId w:val="5"/>
        </w:numPr>
        <w:spacing w:after="0" w:line="240" w:lineRule="auto"/>
        <w:rPr>
          <w:rFonts w:ascii="Calibri" w:hAnsi="Calibri" w:cs="Calibri"/>
          <w:b/>
          <w:bCs/>
          <w:color w:val="0070C0"/>
        </w:rPr>
      </w:pPr>
      <w:r w:rsidRPr="005A6192">
        <w:rPr>
          <w:rFonts w:ascii="Calibri" w:hAnsi="Calibri" w:cs="Calibri"/>
          <w:kern w:val="0"/>
          <w:sz w:val="22"/>
          <w:szCs w:val="22"/>
          <w14:ligatures w14:val="none"/>
        </w:rPr>
        <w:t xml:space="preserve">Advan Research POI Footprint and Weekly Patterns+ (2024): commercial establishment locations, business categories, and estimated visitation </w:t>
      </w:r>
    </w:p>
    <w:p w14:paraId="41F90CA7" w14:textId="77777777" w:rsidR="00E67616" w:rsidRPr="005A6192" w:rsidRDefault="00E67616" w:rsidP="00E67616">
      <w:pPr>
        <w:pStyle w:val="ListParagraph"/>
        <w:numPr>
          <w:ilvl w:val="0"/>
          <w:numId w:val="5"/>
        </w:numPr>
        <w:spacing w:after="0" w:line="240" w:lineRule="auto"/>
        <w:rPr>
          <w:rFonts w:ascii="Calibri" w:hAnsi="Calibri" w:cs="Calibri"/>
          <w:b/>
          <w:bCs/>
          <w:color w:val="0070C0"/>
        </w:rPr>
      </w:pPr>
      <w:r w:rsidRPr="005A6192">
        <w:rPr>
          <w:rFonts w:ascii="Calibri" w:hAnsi="Calibri" w:cs="Calibri"/>
          <w:kern w:val="0"/>
          <w:sz w:val="22"/>
          <w:szCs w:val="22"/>
          <w14:ligatures w14:val="none"/>
        </w:rPr>
        <w:t xml:space="preserve">OpenStreetMap: pedestrian street networks and routing information </w:t>
      </w:r>
    </w:p>
    <w:p w14:paraId="684B84B8" w14:textId="77777777" w:rsidR="00E67616" w:rsidRPr="005A6192" w:rsidRDefault="00E67616" w:rsidP="00E67616">
      <w:pPr>
        <w:spacing w:after="0" w:line="240" w:lineRule="auto"/>
        <w:rPr>
          <w:rFonts w:ascii="Calibri" w:hAnsi="Calibri" w:cs="Calibri"/>
          <w:b/>
          <w:bCs/>
          <w:color w:val="0070C0"/>
        </w:rPr>
      </w:pPr>
      <w:r w:rsidRPr="005A6192">
        <w:rPr>
          <w:rFonts w:ascii="Calibri" w:hAnsi="Calibri" w:cs="Calibri"/>
          <w:b/>
          <w:bCs/>
          <w:kern w:val="0"/>
          <w:sz w:val="22"/>
          <w:szCs w:val="22"/>
          <w14:ligatures w14:val="none"/>
        </w:rPr>
        <w:t>Control Variables</w:t>
      </w:r>
    </w:p>
    <w:p w14:paraId="050C2154" w14:textId="77777777" w:rsidR="00E67616" w:rsidRPr="005A6192" w:rsidRDefault="00E67616" w:rsidP="00E67616">
      <w:pPr>
        <w:pStyle w:val="ListParagraph"/>
        <w:numPr>
          <w:ilvl w:val="0"/>
          <w:numId w:val="5"/>
        </w:numPr>
        <w:spacing w:after="0" w:line="240" w:lineRule="auto"/>
        <w:rPr>
          <w:rFonts w:ascii="Calibri" w:hAnsi="Calibri" w:cs="Calibri"/>
          <w:b/>
          <w:bCs/>
          <w:color w:val="0070C0"/>
        </w:rPr>
      </w:pPr>
      <w:r w:rsidRPr="005A6192">
        <w:rPr>
          <w:rFonts w:ascii="Calibri" w:hAnsi="Calibri" w:cs="Calibri"/>
          <w:kern w:val="0"/>
          <w:sz w:val="22"/>
          <w:szCs w:val="22"/>
          <w14:ligatures w14:val="none"/>
        </w:rPr>
        <w:t xml:space="preserve">American Community Survey (ACS): population density and neighborhood socioeconomic characteristics </w:t>
      </w:r>
    </w:p>
    <w:p w14:paraId="73A8D356" w14:textId="77777777" w:rsidR="00E67616" w:rsidRPr="005A6192" w:rsidRDefault="00E67616" w:rsidP="00E67616">
      <w:pPr>
        <w:pStyle w:val="ListParagraph"/>
        <w:numPr>
          <w:ilvl w:val="0"/>
          <w:numId w:val="5"/>
        </w:numPr>
        <w:spacing w:after="0" w:line="240" w:lineRule="auto"/>
        <w:rPr>
          <w:rFonts w:ascii="Calibri" w:hAnsi="Calibri" w:cs="Calibri"/>
          <w:b/>
          <w:bCs/>
          <w:color w:val="0070C0"/>
        </w:rPr>
      </w:pPr>
      <w:r w:rsidRPr="005A6192">
        <w:rPr>
          <w:rFonts w:ascii="Calibri" w:hAnsi="Calibri" w:cs="Calibri"/>
          <w:kern w:val="0"/>
          <w:sz w:val="22"/>
          <w:szCs w:val="22"/>
          <w14:ligatures w14:val="none"/>
        </w:rPr>
        <w:t xml:space="preserve">Census LODES: employment density and spatial distribution of jobs </w:t>
      </w:r>
    </w:p>
    <w:p w14:paraId="68A48CA5" w14:textId="2EC07BAF" w:rsidR="00E67616" w:rsidRPr="005A6192" w:rsidRDefault="00E67616" w:rsidP="00E67616">
      <w:pPr>
        <w:pStyle w:val="ListParagraph"/>
        <w:numPr>
          <w:ilvl w:val="0"/>
          <w:numId w:val="5"/>
        </w:numPr>
        <w:spacing w:after="0" w:line="240" w:lineRule="auto"/>
        <w:rPr>
          <w:rFonts w:ascii="Calibri" w:hAnsi="Calibri" w:cs="Calibri"/>
          <w:b/>
          <w:bCs/>
          <w:color w:val="0070C0"/>
        </w:rPr>
      </w:pPr>
      <w:r w:rsidRPr="005A6192">
        <w:rPr>
          <w:rFonts w:ascii="Calibri" w:hAnsi="Calibri" w:cs="Calibri"/>
          <w:kern w:val="0"/>
          <w:sz w:val="22"/>
          <w:szCs w:val="22"/>
          <w14:ligatures w14:val="none"/>
        </w:rPr>
        <w:t>Additional built-environment measures, such as street-network accessibility and land-use intensity, where appropriate.</w:t>
      </w:r>
    </w:p>
    <w:p w14:paraId="039BB86F" w14:textId="77777777" w:rsidR="005523DC" w:rsidRPr="005A6192" w:rsidRDefault="005523DC" w:rsidP="005523DC">
      <w:pPr>
        <w:pStyle w:val="ListParagraph"/>
        <w:spacing w:after="0" w:line="240" w:lineRule="auto"/>
        <w:rPr>
          <w:rFonts w:ascii="Calibri" w:hAnsi="Calibri" w:cs="Calibri"/>
          <w:kern w:val="0"/>
          <w:sz w:val="22"/>
          <w:szCs w:val="22"/>
          <w14:ligatures w14:val="none"/>
        </w:rPr>
      </w:pPr>
    </w:p>
    <w:p w14:paraId="6112F156" w14:textId="77777777" w:rsidR="005A6192" w:rsidRPr="005A6192" w:rsidRDefault="005523DC" w:rsidP="005A6192">
      <w:pPr>
        <w:spacing w:after="0" w:line="240" w:lineRule="auto"/>
        <w:rPr>
          <w:rFonts w:ascii="Calibri" w:hAnsi="Calibri" w:cs="Calibri"/>
          <w:b/>
          <w:bCs/>
          <w:color w:val="0070C0"/>
        </w:rPr>
      </w:pPr>
      <w:r w:rsidRPr="005A6192">
        <w:rPr>
          <w:rFonts w:ascii="Calibri" w:hAnsi="Calibri" w:cs="Calibri"/>
          <w:b/>
          <w:bCs/>
          <w:color w:val="0070C0"/>
        </w:rPr>
        <w:t>Research Plan</w:t>
      </w:r>
    </w:p>
    <w:p w14:paraId="53E7EB00" w14:textId="77777777" w:rsidR="005A6192" w:rsidRPr="005A6192" w:rsidRDefault="005A6192" w:rsidP="005A6192">
      <w:pPr>
        <w:spacing w:after="0" w:line="240" w:lineRule="auto"/>
        <w:ind w:firstLine="720"/>
        <w:rPr>
          <w:rFonts w:ascii="Calibri" w:hAnsi="Calibri" w:cs="Calibri"/>
          <w:sz w:val="22"/>
          <w:szCs w:val="22"/>
        </w:rPr>
      </w:pPr>
      <w:r w:rsidRPr="005A6192">
        <w:rPr>
          <w:rFonts w:ascii="Calibri" w:hAnsi="Calibri" w:cs="Calibri"/>
          <w:sz w:val="22"/>
          <w:szCs w:val="22"/>
        </w:rPr>
        <w:t>The study will construct a sample of urban parks in New York City, excluding unusually large destination parks such as Central Park. Each park will be treated as a node, and alternative park networks will be constructed using pedestrian distance, street-axis continuity, and directional changes.</w:t>
      </w:r>
    </w:p>
    <w:p w14:paraId="158A6127" w14:textId="77777777" w:rsidR="005A6192" w:rsidRPr="005A6192" w:rsidRDefault="005A6192" w:rsidP="005A6192">
      <w:pPr>
        <w:spacing w:after="0" w:line="240" w:lineRule="auto"/>
        <w:ind w:firstLine="720"/>
        <w:rPr>
          <w:rFonts w:ascii="Calibri" w:hAnsi="Calibri" w:cs="Calibri"/>
          <w:sz w:val="22"/>
          <w:szCs w:val="22"/>
        </w:rPr>
      </w:pPr>
      <w:r w:rsidRPr="005A6192">
        <w:rPr>
          <w:rFonts w:ascii="Calibri" w:hAnsi="Calibri" w:cs="Calibri"/>
          <w:sz w:val="22"/>
          <w:szCs w:val="22"/>
        </w:rPr>
        <w:t>For each resulting park network or cluster, a 100-meter buffer around constituent parks will define the surrounding commercial area. Commercial POIs within these areas will be used to measure establishment density, business diversity, and visitation.</w:t>
      </w:r>
    </w:p>
    <w:p w14:paraId="38E952FF" w14:textId="02F8DF0E" w:rsidR="005523DC" w:rsidRPr="005A6192" w:rsidRDefault="005A6192" w:rsidP="005A6192">
      <w:pPr>
        <w:spacing w:after="0" w:line="240" w:lineRule="auto"/>
        <w:ind w:firstLine="720"/>
        <w:rPr>
          <w:rFonts w:ascii="Calibri" w:hAnsi="Calibri" w:cs="Calibri"/>
          <w:kern w:val="0"/>
          <w:sz w:val="22"/>
          <w:szCs w:val="22"/>
          <w14:ligatures w14:val="none"/>
        </w:rPr>
      </w:pPr>
      <w:r w:rsidRPr="005A6192">
        <w:rPr>
          <w:rFonts w:ascii="Calibri" w:hAnsi="Calibri" w:cs="Calibri"/>
          <w:sz w:val="22"/>
          <w:szCs w:val="22"/>
        </w:rPr>
        <w:t xml:space="preserve">Regression models will examine the relationship between park-network configuration and commercial activity while accounting for park supply, residential and employment density, socioeconomic conditions, and general street-network accessibility. Comparing alternative network definitions will test whether commercial patterns are </w:t>
      </w:r>
      <w:r w:rsidRPr="005A6192">
        <w:rPr>
          <w:rFonts w:ascii="Calibri" w:hAnsi="Calibri" w:cs="Calibri"/>
          <w:sz w:val="22"/>
          <w:szCs w:val="22"/>
        </w:rPr>
        <w:t>driven</w:t>
      </w:r>
      <w:r w:rsidRPr="005A6192">
        <w:rPr>
          <w:rFonts w:ascii="Calibri" w:hAnsi="Calibri" w:cs="Calibri"/>
          <w:sz w:val="22"/>
          <w:szCs w:val="22"/>
        </w:rPr>
        <w:t xml:space="preserve"> primarily </w:t>
      </w:r>
      <w:r w:rsidRPr="005A6192">
        <w:rPr>
          <w:rFonts w:ascii="Calibri" w:hAnsi="Calibri" w:cs="Calibri"/>
          <w:sz w:val="22"/>
          <w:szCs w:val="22"/>
        </w:rPr>
        <w:t>by</w:t>
      </w:r>
      <w:r w:rsidRPr="005A6192">
        <w:rPr>
          <w:rFonts w:ascii="Calibri" w:hAnsi="Calibri" w:cs="Calibri"/>
          <w:sz w:val="22"/>
          <w:szCs w:val="22"/>
        </w:rPr>
        <w:t xml:space="preserve"> simple proximity or </w:t>
      </w:r>
      <w:r w:rsidRPr="005A6192">
        <w:rPr>
          <w:rFonts w:ascii="Calibri" w:hAnsi="Calibri" w:cs="Calibri"/>
          <w:sz w:val="22"/>
          <w:szCs w:val="22"/>
        </w:rPr>
        <w:t>by</w:t>
      </w:r>
      <w:r w:rsidRPr="005A6192">
        <w:rPr>
          <w:rFonts w:ascii="Calibri" w:hAnsi="Calibri" w:cs="Calibri"/>
          <w:sz w:val="22"/>
          <w:szCs w:val="22"/>
        </w:rPr>
        <w:t xml:space="preserve"> broader configurational properties of the park system.</w:t>
      </w:r>
    </w:p>
    <w:sectPr w:rsidR="005523DC" w:rsidRPr="005A6192" w:rsidSect="005A6192">
      <w:headerReference w:type="default" r:id="rId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3B4A32" w14:textId="77777777" w:rsidR="005204FB" w:rsidRDefault="005204FB" w:rsidP="005A6192">
      <w:pPr>
        <w:spacing w:after="0" w:line="240" w:lineRule="auto"/>
      </w:pPr>
      <w:r>
        <w:separator/>
      </w:r>
    </w:p>
  </w:endnote>
  <w:endnote w:type="continuationSeparator" w:id="0">
    <w:p w14:paraId="5F291B9F" w14:textId="77777777" w:rsidR="005204FB" w:rsidRDefault="005204FB" w:rsidP="005A6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B961E" w14:textId="77777777" w:rsidR="005204FB" w:rsidRDefault="005204FB" w:rsidP="005A6192">
      <w:pPr>
        <w:spacing w:after="0" w:line="240" w:lineRule="auto"/>
      </w:pPr>
      <w:r>
        <w:separator/>
      </w:r>
    </w:p>
  </w:footnote>
  <w:footnote w:type="continuationSeparator" w:id="0">
    <w:p w14:paraId="48CE9388" w14:textId="77777777" w:rsidR="005204FB" w:rsidRDefault="005204FB" w:rsidP="005A6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9B1DA" w14:textId="39CCBEEE" w:rsidR="005A6192" w:rsidRPr="005A6192" w:rsidRDefault="005A6192">
    <w:pPr>
      <w:pStyle w:val="Header"/>
      <w:rPr>
        <w:rFonts w:ascii="Calibri" w:hAnsi="Calibri" w:cs="Calibri"/>
      </w:rPr>
    </w:pPr>
    <w:r w:rsidRPr="005A6192">
      <w:rPr>
        <w:rFonts w:ascii="Calibri" w:hAnsi="Calibri" w:cs="Calibri"/>
      </w:rPr>
      <w:t>Advanced Urban &amp; Regional Theory</w:t>
    </w:r>
    <w:r w:rsidRPr="005A6192">
      <w:rPr>
        <w:rFonts w:ascii="Calibri" w:hAnsi="Calibri" w:cs="Calibri"/>
      </w:rPr>
      <w:ptab w:relativeTo="margin" w:alignment="center" w:leader="none"/>
    </w:r>
    <w:r w:rsidRPr="005A6192">
      <w:rPr>
        <w:rFonts w:ascii="Calibri" w:hAnsi="Calibri" w:cs="Calibri"/>
      </w:rPr>
      <w:ptab w:relativeTo="margin" w:alignment="right" w:leader="none"/>
    </w:r>
    <w:proofErr w:type="spellStart"/>
    <w:r w:rsidRPr="005A6192">
      <w:rPr>
        <w:rFonts w:ascii="Calibri" w:hAnsi="Calibri" w:cs="Calibri"/>
      </w:rPr>
      <w:t>Sungho</w:t>
    </w:r>
    <w:proofErr w:type="spellEnd"/>
    <w:r w:rsidRPr="005A6192">
      <w:rPr>
        <w:rFonts w:ascii="Calibri" w:hAnsi="Calibri" w:cs="Calibri"/>
      </w:rPr>
      <w:t xml:space="preserve"> Synn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93E13"/>
    <w:multiLevelType w:val="multilevel"/>
    <w:tmpl w:val="52A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0485B"/>
    <w:multiLevelType w:val="multilevel"/>
    <w:tmpl w:val="FF1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67694"/>
    <w:multiLevelType w:val="hybridMultilevel"/>
    <w:tmpl w:val="08F86BD0"/>
    <w:lvl w:ilvl="0" w:tplc="42F2B10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844C9"/>
    <w:multiLevelType w:val="hybridMultilevel"/>
    <w:tmpl w:val="CF64EA10"/>
    <w:lvl w:ilvl="0" w:tplc="BB3A13D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20AFF"/>
    <w:multiLevelType w:val="hybridMultilevel"/>
    <w:tmpl w:val="BCEAFFB4"/>
    <w:lvl w:ilvl="0" w:tplc="991067C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D223F"/>
    <w:multiLevelType w:val="hybridMultilevel"/>
    <w:tmpl w:val="ED509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A25B5E"/>
    <w:multiLevelType w:val="multilevel"/>
    <w:tmpl w:val="DDB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76CFD"/>
    <w:multiLevelType w:val="hybridMultilevel"/>
    <w:tmpl w:val="5CF8E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310B02"/>
    <w:multiLevelType w:val="hybridMultilevel"/>
    <w:tmpl w:val="A302F86E"/>
    <w:lvl w:ilvl="0" w:tplc="5FF6BBF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5484166">
    <w:abstractNumId w:val="5"/>
  </w:num>
  <w:num w:numId="2" w16cid:durableId="2048144831">
    <w:abstractNumId w:val="7"/>
  </w:num>
  <w:num w:numId="3" w16cid:durableId="212625126">
    <w:abstractNumId w:val="3"/>
  </w:num>
  <w:num w:numId="4" w16cid:durableId="639120091">
    <w:abstractNumId w:val="8"/>
  </w:num>
  <w:num w:numId="5" w16cid:durableId="487550029">
    <w:abstractNumId w:val="2"/>
  </w:num>
  <w:num w:numId="6" w16cid:durableId="111168450">
    <w:abstractNumId w:val="6"/>
  </w:num>
  <w:num w:numId="7" w16cid:durableId="921522177">
    <w:abstractNumId w:val="1"/>
  </w:num>
  <w:num w:numId="8" w16cid:durableId="892540008">
    <w:abstractNumId w:val="0"/>
  </w:num>
  <w:num w:numId="9" w16cid:durableId="132018633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F90"/>
    <w:rsid w:val="00004C32"/>
    <w:rsid w:val="0024735F"/>
    <w:rsid w:val="003A5EA3"/>
    <w:rsid w:val="005204FB"/>
    <w:rsid w:val="005523DC"/>
    <w:rsid w:val="00594DD9"/>
    <w:rsid w:val="005A6192"/>
    <w:rsid w:val="005C46AB"/>
    <w:rsid w:val="008C24BE"/>
    <w:rsid w:val="00B154C3"/>
    <w:rsid w:val="00CB17C3"/>
    <w:rsid w:val="00E67616"/>
    <w:rsid w:val="00EE60E7"/>
    <w:rsid w:val="00F92F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5C6AE34"/>
  <w15:chartTrackingRefBased/>
  <w15:docId w15:val="{69B0C9BA-1457-3947-A2A7-F6D3DE20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004C32"/>
    <w:rPr>
      <w:color w:val="000000" w:themeColor="text1"/>
      <w:u w:val="none"/>
    </w:rPr>
  </w:style>
  <w:style w:type="character" w:customStyle="1" w:styleId="Heading1Char">
    <w:name w:val="Heading 1 Char"/>
    <w:basedOn w:val="DefaultParagraphFont"/>
    <w:link w:val="Heading1"/>
    <w:uiPriority w:val="9"/>
    <w:rsid w:val="00F92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F90"/>
    <w:rPr>
      <w:rFonts w:eastAsiaTheme="majorEastAsia" w:cstheme="majorBidi"/>
      <w:color w:val="272727" w:themeColor="text1" w:themeTint="D8"/>
    </w:rPr>
  </w:style>
  <w:style w:type="paragraph" w:styleId="Title">
    <w:name w:val="Title"/>
    <w:basedOn w:val="Normal"/>
    <w:next w:val="Normal"/>
    <w:link w:val="TitleChar"/>
    <w:uiPriority w:val="10"/>
    <w:qFormat/>
    <w:rsid w:val="00F92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F90"/>
    <w:pPr>
      <w:spacing w:before="160"/>
      <w:jc w:val="center"/>
    </w:pPr>
    <w:rPr>
      <w:i/>
      <w:iCs/>
      <w:color w:val="404040" w:themeColor="text1" w:themeTint="BF"/>
    </w:rPr>
  </w:style>
  <w:style w:type="character" w:customStyle="1" w:styleId="QuoteChar">
    <w:name w:val="Quote Char"/>
    <w:basedOn w:val="DefaultParagraphFont"/>
    <w:link w:val="Quote"/>
    <w:uiPriority w:val="29"/>
    <w:rsid w:val="00F92F90"/>
    <w:rPr>
      <w:i/>
      <w:iCs/>
      <w:color w:val="404040" w:themeColor="text1" w:themeTint="BF"/>
    </w:rPr>
  </w:style>
  <w:style w:type="paragraph" w:styleId="ListParagraph">
    <w:name w:val="List Paragraph"/>
    <w:basedOn w:val="Normal"/>
    <w:uiPriority w:val="34"/>
    <w:qFormat/>
    <w:rsid w:val="00F92F90"/>
    <w:pPr>
      <w:ind w:left="720"/>
      <w:contextualSpacing/>
    </w:pPr>
  </w:style>
  <w:style w:type="character" w:styleId="IntenseEmphasis">
    <w:name w:val="Intense Emphasis"/>
    <w:basedOn w:val="DefaultParagraphFont"/>
    <w:uiPriority w:val="21"/>
    <w:qFormat/>
    <w:rsid w:val="00F92F90"/>
    <w:rPr>
      <w:i/>
      <w:iCs/>
      <w:color w:val="0F4761" w:themeColor="accent1" w:themeShade="BF"/>
    </w:rPr>
  </w:style>
  <w:style w:type="paragraph" w:styleId="IntenseQuote">
    <w:name w:val="Intense Quote"/>
    <w:basedOn w:val="Normal"/>
    <w:next w:val="Normal"/>
    <w:link w:val="IntenseQuoteChar"/>
    <w:uiPriority w:val="30"/>
    <w:qFormat/>
    <w:rsid w:val="00F92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F90"/>
    <w:rPr>
      <w:i/>
      <w:iCs/>
      <w:color w:val="0F4761" w:themeColor="accent1" w:themeShade="BF"/>
    </w:rPr>
  </w:style>
  <w:style w:type="character" w:styleId="IntenseReference">
    <w:name w:val="Intense Reference"/>
    <w:basedOn w:val="DefaultParagraphFont"/>
    <w:uiPriority w:val="32"/>
    <w:qFormat/>
    <w:rsid w:val="00F92F90"/>
    <w:rPr>
      <w:b/>
      <w:bCs/>
      <w:smallCaps/>
      <w:color w:val="0F4761" w:themeColor="accent1" w:themeShade="BF"/>
      <w:spacing w:val="5"/>
    </w:rPr>
  </w:style>
  <w:style w:type="paragraph" w:customStyle="1" w:styleId="pdq2pgselectionanchorcontainer">
    <w:name w:val="pdq2pg_selectionanchorcontainer"/>
    <w:basedOn w:val="Normal"/>
    <w:rsid w:val="00E676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7616"/>
    <w:rPr>
      <w:b/>
      <w:bCs/>
    </w:rPr>
  </w:style>
  <w:style w:type="paragraph" w:styleId="NormalWeb">
    <w:name w:val="Normal (Web)"/>
    <w:basedOn w:val="Normal"/>
    <w:uiPriority w:val="99"/>
    <w:semiHidden/>
    <w:unhideWhenUsed/>
    <w:rsid w:val="00E676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A61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192"/>
  </w:style>
  <w:style w:type="paragraph" w:styleId="Footer">
    <w:name w:val="footer"/>
    <w:basedOn w:val="Normal"/>
    <w:link w:val="FooterChar"/>
    <w:uiPriority w:val="99"/>
    <w:unhideWhenUsed/>
    <w:rsid w:val="005A61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421</Words>
  <Characters>2413</Characters>
  <Application>Microsoft Office Word</Application>
  <DocSecurity>0</DocSecurity>
  <Lines>54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Ho Synn</dc:creator>
  <cp:keywords/>
  <dc:description/>
  <cp:lastModifiedBy>Sung Ho Synn</cp:lastModifiedBy>
  <cp:revision>1</cp:revision>
  <dcterms:created xsi:type="dcterms:W3CDTF">2026-09-16T01:00:00Z</dcterms:created>
  <dcterms:modified xsi:type="dcterms:W3CDTF">2026-09-16T03:32:00Z</dcterms:modified>
</cp:coreProperties>
</file>