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Homepage Copy — Draft 3</w:t>
      </w:r>
    </w:p>
    <w:p>
      <w:r>
        <w:rPr>
          <w:i/>
          <w:color w:val="666666"/>
          <w:sz w:val="18"/>
        </w:rPr>
        <w:t>Updated 2026-07-29 per Jackie's Word comments on Draft 2: renamed the "How I Work" section (neither that nor "How This Works" landed), added real client-since years for Raffi Saroyan and Anne Laguzza. Client quotes still need fresh sign-off from each client for public website use before this goes live.</w:t>
      </w:r>
    </w:p>
    <w:p/>
    <w:p>
      <w:pPr>
        <w:pStyle w:val="Heading1"/>
      </w:pPr>
      <w:r>
        <w:t>Hero</w:t>
      </w:r>
    </w:p>
    <w:p>
      <w:r>
        <w:rPr>
          <w:b/>
          <w:i w:val="0"/>
          <w:sz w:val="28"/>
        </w:rPr>
        <w:t>Growth Stalled?</w:t>
      </w:r>
    </w:p>
    <w:p>
      <w:r>
        <w:rPr>
          <w:b w:val="0"/>
          <w:i w:val="0"/>
          <w:sz w:val="22"/>
        </w:rPr>
        <w:t>If you're running a $250K–$4M B2B service business, growth stalls for one real reason: the strategy that got you to this level hasn't grown with you yet.</w:t>
      </w:r>
    </w:p>
    <w:p>
      <w:r>
        <w:rPr>
          <w:b w:val="0"/>
          <w:i/>
          <w:sz w:val="22"/>
        </w:rPr>
        <w:t>CTA: Start the Conversation</w:t>
      </w:r>
    </w:p>
    <w:p>
      <w:pPr>
        <w:pStyle w:val="Heading1"/>
      </w:pPr>
      <w:r>
        <w:t>The Pattern</w:t>
      </w:r>
    </w:p>
    <w:p>
      <w:r>
        <w:rPr>
          <w:b/>
          <w:i w:val="0"/>
          <w:sz w:val="24"/>
        </w:rPr>
        <w:t>The Same Wall, More Than Once</w:t>
      </w:r>
    </w:p>
    <w:p>
      <w:r>
        <w:rPr>
          <w:b w:val="0"/>
          <w:i w:val="0"/>
          <w:sz w:val="22"/>
        </w:rPr>
        <w:t>Most owners hit the first one somewhere around $250,000–$400,000, when whatever got the business off the ground — hustle, doing everything yourself, figuring it out as you go — stops being enough. The second usually shows up around $750,000 to $1 million, once the business has outgrown what one person can run alone but hasn't built real structure yet. The third tends to hit around $3–4 million, when the business gets too complex to hold in your head the way you used to.</w:t>
      </w:r>
    </w:p>
    <w:p>
      <w:r>
        <w:rPr>
          <w:b w:val="0"/>
          <w:i w:val="0"/>
          <w:sz w:val="22"/>
        </w:rPr>
        <w:t>Each time, it rarely feels like part of a pattern. It feels like something's wrong — with the market, the team, or you. Usually, it's none of those things. The strategy that worked to get you here just has to change to get you through here.</w:t>
      </w:r>
    </w:p>
    <w:p>
      <w:pPr>
        <w:pStyle w:val="Heading1"/>
      </w:pPr>
      <w:r>
        <w:t>What I Bring</w:t>
      </w:r>
    </w:p>
    <w:p>
      <w:r>
        <w:rPr>
          <w:b w:val="0"/>
          <w:i w:val="0"/>
          <w:sz w:val="22"/>
        </w:rPr>
        <w:t>If you're a B2B service business owner generating $250K–$4M in revenue whose growth has stalled, I bring the kind of strategic thinking usually reserved for Fortune 500 companies, sized to get your business growing again.</w:t>
      </w:r>
    </w:p>
    <w:p>
      <w:r>
        <w:rPr>
          <w:b w:val="0"/>
          <w:i w:val="0"/>
          <w:sz w:val="22"/>
        </w:rPr>
        <w:t>That comes from 25+ years running my own company and working alongside owners across a wide range of industries, which gives me both the big-picture view and the depth to understand your specific situation, not a generic playbook applied to it.</w:t>
      </w:r>
    </w:p>
    <w:p>
      <w:pPr>
        <w:pStyle w:val="Heading1"/>
      </w:pPr>
      <w:r>
        <w:t>Personalized, Not Packaged</w:t>
      </w:r>
    </w:p>
    <w:p>
      <w:r>
        <w:rPr>
          <w:i/>
          <w:color w:val="666666"/>
          <w:sz w:val="18"/>
        </w:rPr>
        <w:t>Header options if this doesn't land: Built Around Your Business / Not Off-the-Shelf / How This Is Different.</w:t>
      </w:r>
    </w:p>
    <w:p>
      <w:r>
        <w:rPr>
          <w:b w:val="0"/>
          <w:i w:val="0"/>
          <w:sz w:val="22"/>
        </w:rPr>
        <w:t>I don't sell a program or a system, and I'm not going to hand you a framework and step back. I listen first, then work through your specific situation with you — collaboratively, practically — until we land on something you can actually use. Some owners want one meeting a month. Others want four. Either way, it's built around your business, not a curriculum.</w:t>
      </w:r>
    </w:p>
    <w:p>
      <w:pPr>
        <w:spacing w:before="120" w:after="120"/>
        <w:ind w:left="576"/>
      </w:pPr>
      <w:r>
        <w:rPr>
          <w:i/>
          <w:color w:val="333333"/>
          <w:sz w:val="22"/>
        </w:rPr>
        <w:t>“I was too close to see my own situation objectively.” — Mark Chapman, The I Do Society, client since 2014</w:t>
      </w:r>
    </w:p>
    <w:p>
      <w:pPr>
        <w:pStyle w:val="Heading1"/>
      </w:pPr>
      <w:r>
        <w:t>What Clients Say</w:t>
      </w:r>
    </w:p>
    <w:p>
      <w:pPr>
        <w:spacing w:before="120" w:after="120"/>
        <w:ind w:left="576"/>
      </w:pPr>
      <w:r>
        <w:rPr>
          <w:i/>
          <w:color w:val="333333"/>
          <w:sz w:val="22"/>
        </w:rPr>
        <w:t>“Jackie helps me see the 30,000-ft view.” — Raffi Saroyan, client since 2012</w:t>
      </w:r>
    </w:p>
    <w:p>
      <w:pPr>
        <w:spacing w:before="120" w:after="120"/>
        <w:ind w:left="576"/>
      </w:pPr>
      <w:r>
        <w:rPr>
          <w:i/>
          <w:color w:val="333333"/>
          <w:sz w:val="22"/>
        </w:rPr>
        <w:t>“You always leave a session feeling better than when you came in.” — Laura Labovich, The Career Strategy Group, client since 2000</w:t>
      </w:r>
    </w:p>
    <w:p>
      <w:pPr>
        <w:spacing w:before="120" w:after="120"/>
        <w:ind w:left="576"/>
      </w:pPr>
      <w:r>
        <w:rPr>
          <w:i/>
          <w:color w:val="333333"/>
          <w:sz w:val="22"/>
        </w:rPr>
        <w:t>“In a world where there seem to be so many grifts, Jackie is genuine.” — Anne Laguzza, The Works Consulting, client since 2003</w:t>
      </w:r>
    </w:p>
    <w:p>
      <w:r>
        <w:rPr>
          <w:i/>
          <w:color w:val="666666"/>
          <w:sz w:val="18"/>
        </w:rPr>
        <w:t>Layout note: stack these vertically or asymmetrically when built, not a 3-column grid — per the AI-Tell Policy in brand-voice.md.</w:t>
      </w:r>
    </w:p>
    <w:p>
      <w:pPr>
        <w:pStyle w:val="Heading1"/>
      </w:pPr>
      <w:r>
        <w:t>Closing CTA</w:t>
      </w:r>
    </w:p>
    <w:p>
      <w:r>
        <w:rPr>
          <w:b/>
          <w:i w:val="0"/>
          <w:sz w:val="24"/>
        </w:rPr>
        <w:t>Ready to talk through where you're stuck?</w:t>
      </w:r>
    </w:p>
    <w:p>
      <w:r>
        <w:rPr>
          <w:b w:val="0"/>
          <w:i w:val="0"/>
          <w:sz w:val="22"/>
        </w:rPr>
        <w:t>Start with a single conversation — no program to sign up for first.</w:t>
      </w:r>
    </w:p>
    <w:p>
      <w:r>
        <w:rPr>
          <w:b w:val="0"/>
          <w:i/>
          <w:sz w:val="22"/>
        </w:rPr>
        <w:t>CTA: Start the Conversation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