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line="312" w:lineRule="auto"/>
      </w:pPr>
      <w:r>
        <w:rPr>
          <w:rFonts w:ascii="Georgia" w:hAnsi="Georgia" w:eastAsia="Georgia"/>
          <w:b/>
          <w:i w:val="0"/>
          <w:color w:val="0D1F4E"/>
          <w:sz w:val="44"/>
        </w:rPr>
        <w:t>LinkedIn Drafts — September 28 through October 2, 2026</w:t>
      </w:r>
    </w:p>
    <w:p>
      <w:pPr>
        <w:spacing w:after="200" w:line="312" w:lineRule="auto"/>
      </w:pPr>
      <w:r>
        <w:rPr>
          <w:rFonts w:ascii="Arial" w:hAnsi="Arial" w:eastAsia="Arial"/>
          <w:b w:val="0"/>
          <w:i/>
          <w:color w:val="444441"/>
          <w:sz w:val="20"/>
        </w:rPr>
        <w:t xml:space="preserve">Drafted 2026-09-21 (Monday 7am recurring batch, automated). Drafting the </w:t>
      </w:r>
      <w:r>
        <w:rPr>
          <w:rFonts w:ascii="Arial" w:hAnsi="Arial" w:eastAsia="Arial"/>
          <w:b w:val="0"/>
          <w:i/>
          <w:color w:val="444441"/>
          <w:sz w:val="20"/>
        </w:rPr>
        <w:t>following</w:t>
      </w:r>
      <w:r>
        <w:rPr>
          <w:rFonts w:ascii="Arial" w:hAnsi="Arial" w:eastAsia="Arial"/>
          <w:b w:val="0"/>
          <w:i/>
          <w:color w:val="444441"/>
          <w:sz w:val="20"/>
        </w:rPr>
        <w:t xml:space="preserve"> week's Mon/Wed/Fri per the standard cadence in context/linkedin-marketing.md. Friday is Part 3 of the "Ongoing Story Series — Different Is Better Than Better," continuing from Part 2 (2026-09-25). Cadence-scrubbed per the standing 2026-07-20 rule and passed through the 2026-07-27 blunt/plain-language pass. Jackie reviews and schedules each via LinkedIn's own scheduler at 7:30am on its respective day.</w:t>
      </w:r>
    </w:p>
    <w:p>
      <w:pPr>
        <w:pStyle w:val="Heading2"/>
        <w:spacing w:after="120" w:line="312" w:lineRule="auto"/>
      </w:pPr>
      <w:r>
        <w:rPr>
          <w:rFonts w:ascii="Georgia" w:hAnsi="Georgia" w:eastAsia="Georgia"/>
          <w:b/>
          <w:i w:val="0"/>
          <w:color w:val="0D1F4E"/>
          <w:sz w:val="32"/>
        </w:rPr>
        <w:t>Monday, September 28 — Thought Leadership</w:t>
      </w:r>
    </w:p>
    <w:p>
      <w:pPr>
        <w:spacing w:after="160" w:line="312" w:lineRule="auto"/>
      </w:pPr>
      <w:r>
        <w:rPr>
          <w:rFonts w:ascii="Arial" w:hAnsi="Arial" w:eastAsia="Arial"/>
          <w:b w:val="0"/>
          <w:i w:val="0"/>
          <w:color w:val="444441"/>
          <w:sz w:val="23"/>
        </w:rPr>
        <w:t>An owner in the $750K–$1M range showed me their onboarding document last month, proud of it, and they should be. It covers everything.</w:t>
      </w:r>
    </w:p>
    <w:p>
      <w:pPr>
        <w:spacing w:after="160" w:line="312" w:lineRule="auto"/>
      </w:pPr>
      <w:r>
        <w:rPr>
          <w:rFonts w:ascii="Arial" w:hAnsi="Arial" w:eastAsia="Arial"/>
          <w:b w:val="0"/>
          <w:i w:val="0"/>
          <w:color w:val="444441"/>
          <w:sz w:val="23"/>
        </w:rPr>
        <w:t>Then they told me how it actually goes. A new hire starts maybe twice a year, so every time, they end up walking the person through it from memory while the document sits in a folder.</w:t>
      </w:r>
    </w:p>
    <w:p>
      <w:pPr>
        <w:spacing w:after="160" w:line="312" w:lineRule="auto"/>
      </w:pPr>
      <w:r>
        <w:rPr>
          <w:rFonts w:ascii="Arial" w:hAnsi="Arial" w:eastAsia="Arial"/>
          <w:b w:val="0"/>
          <w:i w:val="0"/>
          <w:color w:val="444441"/>
          <w:sz w:val="23"/>
        </w:rPr>
        <w:t>Written down and ready to hand off turn out to be two different finish lines. Most of us stop at the first one.</w:t>
      </w:r>
    </w:p>
    <w:p>
      <w:pPr>
        <w:spacing w:after="160" w:line="312" w:lineRule="auto"/>
      </w:pPr>
      <w:r>
        <w:rPr>
          <w:rFonts w:ascii="Arial" w:hAnsi="Arial" w:eastAsia="Arial"/>
          <w:b w:val="0"/>
          <w:i w:val="0"/>
          <w:color w:val="444441"/>
          <w:sz w:val="23"/>
        </w:rPr>
        <w:t>What's something in your business that's written down but still really lives in your head?</w:t>
      </w:r>
    </w:p>
    <w:p>
      <w:pPr>
        <w:pStyle w:val="Heading2"/>
        <w:spacing w:after="120" w:line="312" w:lineRule="auto"/>
      </w:pPr>
      <w:r>
        <w:rPr>
          <w:rFonts w:ascii="Georgia" w:hAnsi="Georgia" w:eastAsia="Georgia"/>
          <w:b/>
          <w:i w:val="0"/>
          <w:color w:val="0D1F4E"/>
          <w:sz w:val="32"/>
        </w:rPr>
        <w:t>Wednesday, September 30 — Story</w:t>
      </w:r>
    </w:p>
    <w:p>
      <w:pPr>
        <w:spacing w:after="160" w:line="312" w:lineRule="auto"/>
      </w:pPr>
      <w:r>
        <w:rPr>
          <w:rFonts w:ascii="Arial" w:hAnsi="Arial" w:eastAsia="Arial"/>
          <w:b w:val="0"/>
          <w:i w:val="0"/>
          <w:color w:val="444441"/>
          <w:sz w:val="23"/>
        </w:rPr>
        <w:t>A client spent a good chunk of a session last month venting about a team member who kept missing deadlines. I let them (some weeks that's exactly what the hour is for).</w:t>
      </w:r>
    </w:p>
    <w:p>
      <w:pPr>
        <w:spacing w:after="160" w:line="312" w:lineRule="auto"/>
      </w:pPr>
      <w:r>
        <w:rPr>
          <w:rFonts w:ascii="Arial" w:hAnsi="Arial" w:eastAsia="Arial"/>
          <w:b w:val="0"/>
          <w:i w:val="0"/>
          <w:color w:val="444441"/>
          <w:sz w:val="23"/>
        </w:rPr>
        <w:t>Then I asked what they wanted to do about it. There was a long pause, and then they told me they'd already decided. They needed to say all of it out loud first, to someone who wouldn't tell them they were overreacting.</w:t>
      </w:r>
    </w:p>
    <w:p>
      <w:pPr>
        <w:spacing w:after="160" w:line="312" w:lineRule="auto"/>
      </w:pPr>
      <w:r>
        <w:rPr>
          <w:rFonts w:ascii="Arial" w:hAnsi="Arial" w:eastAsia="Arial"/>
          <w:b w:val="0"/>
          <w:i w:val="0"/>
          <w:color w:val="444441"/>
          <w:sz w:val="23"/>
        </w:rPr>
        <w:t>We spent the rest of the session on the conversation they'd been dreading: what to say and how to say it.</w:t>
      </w:r>
    </w:p>
    <w:p>
      <w:pPr>
        <w:spacing w:after="160" w:line="312" w:lineRule="auto"/>
      </w:pPr>
      <w:r>
        <w:rPr>
          <w:rFonts w:ascii="Arial" w:hAnsi="Arial" w:eastAsia="Arial"/>
          <w:b w:val="0"/>
          <w:i w:val="0"/>
          <w:color w:val="444441"/>
          <w:sz w:val="23"/>
        </w:rPr>
        <w:t>How do you know when it's time to stop venting and start deciding?</w:t>
      </w:r>
    </w:p>
    <w:p>
      <w:pPr>
        <w:pStyle w:val="Heading2"/>
        <w:spacing w:after="120" w:line="312" w:lineRule="auto"/>
      </w:pPr>
      <w:r>
        <w:rPr>
          <w:rFonts w:ascii="Georgia" w:hAnsi="Georgia" w:eastAsia="Georgia"/>
          <w:b/>
          <w:i w:val="0"/>
          <w:color w:val="0D1F4E"/>
          <w:sz w:val="32"/>
        </w:rPr>
        <w:t>Friday, October 2 — Ongoing Story Series, Part 3</w:t>
      </w:r>
    </w:p>
    <w:p>
      <w:pPr>
        <w:spacing w:after="160" w:line="312" w:lineRule="auto"/>
      </w:pPr>
      <w:r>
        <w:rPr>
          <w:rFonts w:ascii="Arial" w:hAnsi="Arial" w:eastAsia="Arial"/>
          <w:b w:val="0"/>
          <w:i w:val="0"/>
          <w:color w:val="444441"/>
          <w:sz w:val="23"/>
        </w:rPr>
        <w:t>Part 3: how I actually figured out what makes Synnovatia different (a story in installments)</w:t>
      </w:r>
    </w:p>
    <w:p>
      <w:pPr>
        <w:spacing w:after="160" w:line="312" w:lineRule="auto"/>
      </w:pPr>
      <w:r>
        <w:rPr>
          <w:rFonts w:ascii="Arial" w:hAnsi="Arial" w:eastAsia="Arial"/>
          <w:b w:val="0"/>
          <w:i w:val="0"/>
          <w:color w:val="444441"/>
          <w:sz w:val="23"/>
        </w:rPr>
        <w:t>Where we left off: no single answer explained why clients picked me. Two did, together. How it feels to work with me, and two kinds of knowledge behind the advice, one wide and one deep.</w:t>
      </w:r>
    </w:p>
    <w:p>
      <w:pPr>
        <w:spacing w:after="160" w:line="312" w:lineRule="auto"/>
      </w:pPr>
      <w:r>
        <w:rPr>
          <w:rFonts w:ascii="Arial" w:hAnsi="Arial" w:eastAsia="Arial"/>
          <w:b w:val="0"/>
          <w:i w:val="0"/>
          <w:color w:val="444441"/>
          <w:sz w:val="23"/>
        </w:rPr>
        <w:t>Then one client said there's no one else doing what I do, at this level, for solopreneurs. Most strategic advice is built for funded startups or companies with a full leadership team. Bootstrapped owners in the $250K–$4M range usually get neither kind.</w:t>
      </w:r>
    </w:p>
    <w:p>
      <w:pPr>
        <w:spacing w:after="160" w:line="312" w:lineRule="auto"/>
      </w:pPr>
      <w:r>
        <w:rPr>
          <w:rFonts w:ascii="Arial" w:hAnsi="Arial" w:eastAsia="Arial"/>
          <w:b w:val="0"/>
          <w:i w:val="0"/>
          <w:color w:val="444441"/>
          <w:sz w:val="23"/>
        </w:rPr>
        <w:t>That comment is a big reason the Fortune 500 line ended up in my positioning.</w:t>
      </w:r>
    </w:p>
    <w:p>
      <w:pPr>
        <w:spacing w:after="160" w:line="312" w:lineRule="auto"/>
      </w:pPr>
      <w:r>
        <w:rPr>
          <w:rFonts w:ascii="Arial" w:hAnsi="Arial" w:eastAsia="Arial"/>
          <w:b w:val="0"/>
          <w:i w:val="0"/>
          <w:color w:val="444441"/>
          <w:sz w:val="23"/>
        </w:rPr>
        <w:t>Next week: my first try at putting all of this into one sentence, and why it fell flat.</w:t>
      </w:r>
    </w:p>
    <w:p>
      <w:pPr>
        <w:spacing w:after="160" w:line="312" w:lineRule="auto"/>
      </w:pPr>
      <w:r>
        <w:rPr>
          <w:rFonts w:ascii="Arial" w:hAnsi="Arial" w:eastAsia="Arial"/>
          <w:b w:val="0"/>
          <w:i w:val="0"/>
          <w:color w:val="444441"/>
          <w:sz w:val="23"/>
        </w:rPr>
        <w:t>Where do you go for advice built for a business your size?</w:t>
      </w:r>
    </w:p>
    <w:p>
      <w:pPr>
        <w:pStyle w:val="Heading2"/>
        <w:spacing w:after="120" w:line="312" w:lineRule="auto"/>
      </w:pPr>
      <w:r>
        <w:rPr>
          <w:rFonts w:ascii="Georgia" w:hAnsi="Georgia" w:eastAsia="Georgia"/>
          <w:b/>
          <w:i w:val="0"/>
          <w:color w:val="0D1F4E"/>
          <w:sz w:val="32"/>
        </w:rPr>
        <w:t>Notes</w:t>
      </w:r>
    </w:p>
    <w:p>
      <w:pPr>
        <w:pStyle w:val="ListBullet"/>
        <w:spacing w:after="100" w:line="312" w:lineRule="auto"/>
      </w:pPr>
      <w:r>
        <w:rPr>
          <w:rFonts w:ascii="Arial" w:hAnsi="Arial" w:eastAsia="Arial"/>
          <w:b/>
          <w:i w:val="0"/>
          <w:color w:val="444441"/>
          <w:sz w:val="20"/>
        </w:rPr>
        <w:t>Monday</w:t>
      </w:r>
      <w:r>
        <w:rPr>
          <w:rFonts w:ascii="Arial" w:hAnsi="Arial" w:eastAsia="Arial"/>
          <w:b w:val="0"/>
          <w:i w:val="0"/>
          <w:color w:val="444441"/>
          <w:sz w:val="20"/>
        </w:rPr>
        <w:t xml:space="preserve"> draws on the $750K–$1M "wall" in outputs/positioning/positioning-brief.md (documentation exists but isn't systemized enough for someone else to run; onboarding happens so rarely it gets handled ad hoc each time). Not used in any prior batch. Opens on a specific scenario rather than a years-of-experience credential, per the 2026-09-04 retirement note. Illustrative/composite, not a specific real client's details; uses "they." No invented number beyond the revenue band already in the brief. "Most of us stop at the first one" uses the inclusive we/us framing (2026-08-31 rule).</w:t>
      </w:r>
    </w:p>
    <w:p>
      <w:pPr>
        <w:pStyle w:val="ListBullet"/>
        <w:spacing w:after="100" w:line="312" w:lineRule="auto"/>
      </w:pPr>
      <w:r>
        <w:rPr>
          <w:rFonts w:ascii="Arial" w:hAnsi="Arial" w:eastAsia="Arial"/>
          <w:b/>
          <w:i w:val="0"/>
          <w:color w:val="444441"/>
          <w:sz w:val="20"/>
        </w:rPr>
        <w:t>Wednesday</w:t>
      </w:r>
      <w:r>
        <w:rPr>
          <w:rFonts w:ascii="Arial" w:hAnsi="Arial" w:eastAsia="Arial"/>
          <w:b w:val="0"/>
          <w:i w:val="0"/>
          <w:color w:val="444441"/>
          <w:sz w:val="20"/>
        </w:rPr>
        <w:t xml:space="preserve"> draws on the "Emotional Intelligence" proof point (Christina Carlson: holds space for the frustration, and knows when it's time to move on) — not used in any prior batch. Illustrative/composite; "last month" and the venting-then-decided beat are generalized, not a specific real session. Uses "they" throughout, no invented outcome. If you'd rather swap it for something that actually happened, give me the details and I'll redraft.</w:t>
      </w:r>
    </w:p>
    <w:p>
      <w:pPr>
        <w:pStyle w:val="ListBullet"/>
        <w:spacing w:after="100" w:line="312" w:lineRule="auto"/>
      </w:pPr>
      <w:r>
        <w:rPr>
          <w:rFonts w:ascii="Arial" w:hAnsi="Arial" w:eastAsia="Arial"/>
          <w:b/>
          <w:i w:val="0"/>
          <w:color w:val="444441"/>
          <w:sz w:val="20"/>
        </w:rPr>
        <w:t>Friday is Part 3</w:t>
      </w:r>
      <w:r>
        <w:rPr>
          <w:rFonts w:ascii="Arial" w:hAnsi="Arial" w:eastAsia="Arial"/>
          <w:b w:val="0"/>
          <w:i w:val="0"/>
          <w:color w:val="444441"/>
          <w:sz w:val="20"/>
        </w:rPr>
        <w:t xml:space="preserve">, and it delivers on the hook at the end of Part 2 ("the specific conversation that showed me just how rare that combination actually is"). </w:t>
      </w:r>
      <w:r>
        <w:rPr>
          <w:rFonts w:ascii="Arial" w:hAnsi="Arial" w:eastAsia="Arial"/>
          <w:b/>
          <w:i w:val="0"/>
          <w:color w:val="444441"/>
          <w:sz w:val="20"/>
        </w:rPr>
        <w:t>Please check this one against what really happened.</w:t>
      </w:r>
      <w:r>
        <w:rPr>
          <w:rFonts w:ascii="Arial" w:hAnsi="Arial" w:eastAsia="Arial"/>
          <w:b w:val="0"/>
          <w:i w:val="0"/>
          <w:color w:val="444441"/>
          <w:sz w:val="20"/>
        </w:rPr>
        <w:t xml:space="preserve"> I built it from the real client comment recorded in the brief and the positioning-statement work notes ("There's no one else doing what Jackie does, at this level, for solopreneurs," Raffi Saroyan), paraphrased and left unnamed since I haven't confirmed he's okay being named. I did not invent the setting, when in the interviews it came up, or how you reacted. If that wasn't the conversation you meant in Part 2's teaser, or if you changed the teaser before posting, tell me and I'll rewrite. If you'd rather quote him directly or name him, that's your call.</w:t>
      </w:r>
    </w:p>
    <w:p>
      <w:pPr>
        <w:pStyle w:val="ListBullet"/>
        <w:spacing w:after="100" w:line="312" w:lineRule="auto"/>
      </w:pPr>
      <w:r>
        <w:rPr>
          <w:rFonts w:ascii="Arial" w:hAnsi="Arial" w:eastAsia="Arial"/>
          <w:b/>
          <w:i w:val="0"/>
          <w:color w:val="444441"/>
          <w:sz w:val="20"/>
        </w:rPr>
        <w:t>Part 4 hook is real</w:t>
      </w:r>
      <w:r>
        <w:rPr>
          <w:rFonts w:ascii="Arial" w:hAnsi="Arial" w:eastAsia="Arial"/>
          <w:b w:val="0"/>
          <w:i w:val="0"/>
          <w:color w:val="444441"/>
          <w:sz w:val="20"/>
        </w:rPr>
        <w:t>: plans/2026-07-28-positioning-statement-work.md records that "30,000-ft view" alone was rejected as too thin and that the first attempt to fit everything into one sentence came out too dense and read as a list. Part 4 can walk through that edit trail (the tight statement, the "close enough to your day-to-day" catch, then the positioning name in August).</w:t>
      </w:r>
    </w:p>
    <w:p>
      <w:pPr>
        <w:pStyle w:val="ListBullet"/>
        <w:spacing w:after="100" w:line="312" w:lineRule="auto"/>
      </w:pPr>
      <w:r>
        <w:rPr>
          <w:rFonts w:ascii="Arial" w:hAnsi="Arial" w:eastAsia="Arial"/>
          <w:b w:val="0"/>
          <w:i w:val="0"/>
          <w:color w:val="444441"/>
          <w:sz w:val="20"/>
        </w:rPr>
        <w:t>Cadence-scrubbed: no negation pivots, stacked fragments, anaphora, or "Here's the thing" openers on any of the three.</w:t>
      </w:r>
    </w:p>
    <w:p>
      <w:pPr>
        <w:pStyle w:val="ListBullet"/>
        <w:spacing w:after="100" w:line="312" w:lineRule="auto"/>
      </w:pPr>
      <w:r>
        <w:rPr>
          <w:rFonts w:ascii="Arial" w:hAnsi="Arial" w:eastAsia="Arial"/>
          <w:b w:val="0"/>
          <w:i w:val="0"/>
          <w:color w:val="444441"/>
          <w:sz w:val="20"/>
        </w:rPr>
        <w:t>No closing hashtag on any post; all three close on genuine engagement questions rather than a light self-directed one, so #askingforafriend doesn't apply.</w:t>
      </w:r>
    </w:p>
    <w:p>
      <w:pPr>
        <w:pStyle w:val="ListBullet"/>
        <w:spacing w:after="100" w:line="312" w:lineRule="auto"/>
      </w:pPr>
      <w:r>
        <w:rPr>
          <w:rFonts w:ascii="Arial" w:hAnsi="Arial" w:eastAsia="Arial"/>
          <w:b w:val="0"/>
          <w:i w:val="0"/>
          <w:color w:val="444441"/>
          <w:sz w:val="20"/>
        </w:rPr>
        <w:t>Avoided angles used in the last five batches: outside objectivity / two funnels, AI-image trust, generic advice, Forrester stall stat, economic confidence, "I don't know" licensing story, five-step-system, brand blind spot, Wynter word-of-mouth stat, referral stat.</w:t>
      </w:r>
    </w:p>
    <w:p>
      <w:pPr>
        <w:pStyle w:val="ListBullet"/>
        <w:spacing w:after="100" w:line="312" w:lineRule="auto"/>
      </w:pPr>
      <w:r>
        <w:rPr>
          <w:rFonts w:ascii="Arial" w:hAnsi="Arial" w:eastAsia="Arial"/>
          <w:b w:val="0"/>
          <w:i w:val="0"/>
          <w:color w:val="444441"/>
          <w:sz w:val="20"/>
        </w:rPr>
        <w:t>The Friday slot follows context/linkedin-marketing.md (Ongoing Story Series, changed 2026-09-04) rather than the older "What I'm Watching" wording in the scheduled task's own description, which predates that change and matches how Parts 1 and 2 were handled.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D1F4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D1F4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