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6A00"/>
          <w:sz w:val="20"/>
          <w:szCs w:val="20"/>
        </w:rPr>
        <w:t xml:space="preserve">Synnovatia</w:t>
      </w:r>
    </w:p>
    <w:p>
      <w:pPr>
        <w:pStyle w:val="Title"/>
        <w:spacing w:after="60"/>
      </w:pPr>
      <w:r>
        <w:rPr>
          <w:b/>
          <w:bCs/>
          <w:color w:val="0D1F4E"/>
          <w:sz w:val="34"/>
          <w:szCs w:val="34"/>
        </w:rPr>
        <w:t xml:space="preserve">Core Business Assessment — Landing Page Copy</w:t>
      </w:r>
    </w:p>
    <w:p>
      <w:pPr>
        <w:pBdr>
          <w:bottom w:val="single" w:color="806A00" w:sz="6" w:space="8"/>
        </w:pBdr>
        <w:spacing w:after="240"/>
      </w:pPr>
      <w:r>
        <w:rPr>
          <w:i/>
          <w:iCs/>
          <w:color w:val="555555"/>
          <w:sz w:val="18"/>
          <w:szCs w:val="18"/>
        </w:rPr>
        <w:t xml:space="preserve">Final draft, approved 2026-10-09. Three screens: a routing page, then one of two destination pages depending on the answer.</w:t>
      </w:r>
    </w:p>
    <w:p>
      <w:pPr>
        <w:pStyle w:val="Heading1"/>
        <w:pBdr>
          <w:bottom w:val="single" w:color="0F6E56" w:sz="4" w:space="4"/>
        </w:pBdr>
        <w:spacing w:after="120" w:before="320"/>
      </w:pPr>
      <w:r>
        <w:rPr>
          <w:b/>
          <w:bCs/>
          <w:color w:val="0D1F4E"/>
          <w:sz w:val="28"/>
          <w:szCs w:val="28"/>
        </w:rPr>
        <w:t xml:space="preserve">Screen 1 — Routing Page</w:t>
      </w:r>
    </w:p>
    <w:p>
      <w:pPr>
        <w:spacing w:after="40" w:before="140"/>
      </w:pPr>
      <w:r>
        <w:rPr>
          <w:b/>
          <w:bCs/>
          <w:color w:val="0F6E56"/>
          <w:sz w:val="20"/>
          <w:szCs w:val="20"/>
        </w:rPr>
        <w:t xml:space="preserve">Eyebrow</w:t>
      </w:r>
    </w:p>
    <w:p>
      <w:pPr>
        <w:spacing w:after="100"/>
      </w:pPr>
      <w:r>
        <w:rPr>
          <w:b w:val="false"/>
          <w:bCs w:val="false"/>
          <w:sz w:val="22"/>
          <w:szCs w:val="22"/>
        </w:rPr>
        <w:t xml:space="preserve">Free Assessment</w:t>
      </w:r>
    </w:p>
    <w:p>
      <w:pPr>
        <w:spacing w:after="40" w:before="140"/>
      </w:pPr>
      <w:r>
        <w:rPr>
          <w:b/>
          <w:bCs/>
          <w:color w:val="0F6E56"/>
          <w:sz w:val="20"/>
          <w:szCs w:val="20"/>
        </w:rPr>
        <w:t xml:space="preserve">Headline</w:t>
      </w:r>
    </w:p>
    <w:p>
      <w:pPr>
        <w:spacing w:after="100"/>
      </w:pPr>
      <w:r>
        <w:rPr>
          <w:b/>
          <w:bCs/>
          <w:sz w:val="22"/>
          <w:szCs w:val="22"/>
        </w:rPr>
        <w:t xml:space="preserve">Where are you in the Messy Middle?</w:t>
      </w:r>
    </w:p>
    <w:p>
      <w:pPr>
        <w:spacing w:after="40" w:before="140"/>
      </w:pPr>
      <w:r>
        <w:rPr>
          <w:b/>
          <w:bCs/>
          <w:color w:val="0F6E56"/>
          <w:sz w:val="20"/>
          <w:szCs w:val="20"/>
        </w:rPr>
        <w:t xml:space="preserve">Subhead</w:t>
      </w:r>
    </w:p>
    <w:p>
      <w:pPr>
        <w:spacing w:after="100"/>
      </w:pPr>
      <w:r>
        <w:rPr>
          <w:b w:val="false"/>
          <w:bCs w:val="false"/>
          <w:sz w:val="22"/>
          <w:szCs w:val="22"/>
        </w:rPr>
        <w:t xml:space="preserve">Most owners hit two walls on their way to growing and scaling their business. The first one feels like you're still finding your footing. The second feels like the business is running you.</w:t>
      </w:r>
    </w:p>
    <w:p>
      <w:pPr>
        <w:spacing w:after="40" w:before="140"/>
      </w:pPr>
      <w:r>
        <w:rPr>
          <w:b/>
          <w:bCs/>
          <w:color w:val="0F6E56"/>
          <w:sz w:val="20"/>
          <w:szCs w:val="20"/>
        </w:rPr>
        <w:t xml:space="preserve">Lead-in (styled as a distinct callout, not part of the subhead paragraph — needs visual weight)</w:t>
      </w:r>
    </w:p>
    <w:p>
      <w:pPr>
        <w:spacing w:after="100"/>
      </w:pPr>
      <w:r>
        <w:rPr>
          <w:b w:val="false"/>
          <w:bCs w:val="false"/>
          <w:sz w:val="22"/>
          <w:szCs w:val="22"/>
        </w:rPr>
        <w:t xml:space="preserve">Answer one question and we'll send the assessment built for where you actually are.</w:t>
      </w:r>
    </w:p>
    <w:p>
      <w:pPr>
        <w:spacing w:after="40" w:before="140"/>
      </w:pPr>
      <w:r>
        <w:rPr>
          <w:b/>
          <w:bCs/>
          <w:color w:val="0F6E56"/>
          <w:sz w:val="20"/>
          <w:szCs w:val="20"/>
        </w:rPr>
        <w:t xml:space="preserve">Qualifying question</w:t>
      </w:r>
    </w:p>
    <w:p>
      <w:pPr>
        <w:spacing w:after="100"/>
      </w:pPr>
      <w:r>
        <w:rPr>
          <w:b w:val="false"/>
          <w:bCs w:val="false"/>
          <w:sz w:val="22"/>
          <w:szCs w:val="22"/>
        </w:rPr>
        <w:t xml:space="preserve">Which one feels more like you right now?</w:t>
      </w:r>
    </w:p>
    <w:p>
      <w:pPr>
        <w:pStyle w:val="ListParagraph"/>
        <w:numPr>
          <w:ilvl w:val="0"/>
          <w:numId w:val="1"/>
        </w:numPr>
        <w:spacing w:after="60"/>
        <w:ind w:left="360"/>
      </w:pPr>
      <w:r>
        <w:rPr>
          <w:i/>
          <w:iCs/>
          <w:sz w:val="22"/>
          <w:szCs w:val="22"/>
        </w:rPr>
        <w:t xml:space="preserve">“Things feel inconsistent. Growth has stalled. Honestly, I can't figure out the fix.”</w:t>
      </w:r>
    </w:p>
    <w:p>
      <w:pPr>
        <w:pStyle w:val="ListParagraph"/>
        <w:numPr>
          <w:ilvl w:val="0"/>
          <w:numId w:val="1"/>
        </w:numPr>
        <w:spacing w:after="60"/>
        <w:ind w:left="360"/>
      </w:pPr>
      <w:r>
        <w:rPr>
          <w:i/>
          <w:iCs/>
          <w:sz w:val="22"/>
          <w:szCs w:val="22"/>
        </w:rPr>
        <w:t xml:space="preserve">“I'm buried. Everything runs through me. There's no room to breathe.”</w:t>
      </w:r>
    </w:p>
    <w:p>
      <w:pPr>
        <w:pStyle w:val="Heading1"/>
        <w:pBdr>
          <w:bottom w:val="single" w:color="0F6E56" w:sz="4" w:space="4"/>
        </w:pBdr>
        <w:spacing w:after="120" w:before="320"/>
      </w:pPr>
      <w:r>
        <w:rPr>
          <w:b/>
          <w:bCs/>
          <w:color w:val="0D1F4E"/>
          <w:sz w:val="28"/>
          <w:szCs w:val="28"/>
        </w:rPr>
        <w:t xml:space="preserve">Screen 2A — Core Business Development</w:t>
      </w:r>
    </w:p>
    <w:p>
      <w:pPr>
        <w:spacing w:after="40" w:before="140"/>
      </w:pPr>
      <w:r>
        <w:rPr>
          <w:b/>
          <w:bCs/>
          <w:color w:val="0F6E56"/>
          <w:sz w:val="20"/>
          <w:szCs w:val="20"/>
        </w:rPr>
        <w:t xml:space="preserve">Headline</w:t>
      </w:r>
    </w:p>
    <w:p>
      <w:pPr>
        <w:spacing w:after="100"/>
      </w:pPr>
      <w:r>
        <w:rPr>
          <w:b/>
          <w:bCs/>
          <w:sz w:val="22"/>
          <w:szCs w:val="22"/>
        </w:rPr>
        <w:t xml:space="preserve">Your business is up and running. Make sure it's built for growth.</w:t>
      </w:r>
    </w:p>
    <w:p>
      <w:pPr>
        <w:spacing w:after="40" w:before="140"/>
      </w:pPr>
      <w:r>
        <w:rPr>
          <w:b/>
          <w:bCs/>
          <w:color w:val="0F6E56"/>
          <w:sz w:val="20"/>
          <w:szCs w:val="20"/>
        </w:rPr>
        <w:t xml:space="preserve">Subhead</w:t>
      </w:r>
    </w:p>
    <w:p>
      <w:pPr>
        <w:spacing w:after="100"/>
      </w:pPr>
      <w:r>
        <w:rPr>
          <w:b w:val="false"/>
          <w:bCs w:val="false"/>
          <w:sz w:val="22"/>
          <w:szCs w:val="22"/>
        </w:rPr>
        <w:t xml:space="preserve">Answer seventy questions across ten areas in about twenty minutes. At the end you'll know which part of the business needs attention first and which parts are fine to leave alone for now.</w:t>
      </w:r>
    </w:p>
    <w:p>
      <w:pPr>
        <w:spacing w:after="40" w:before="140"/>
      </w:pPr>
      <w:r>
        <w:rPr>
          <w:b/>
          <w:bCs/>
          <w:color w:val="0F6E56"/>
          <w:sz w:val="20"/>
          <w:szCs w:val="20"/>
        </w:rPr>
        <w:t xml:space="preserve">Body</w:t>
      </w:r>
    </w:p>
    <w:p>
      <w:pPr>
        <w:spacing w:after="100"/>
      </w:pPr>
      <w:r>
        <w:rPr>
          <w:b w:val="false"/>
          <w:bCs w:val="false"/>
          <w:sz w:val="22"/>
          <w:szCs w:val="22"/>
        </w:rPr>
        <w:t xml:space="preserve">Most owners at this stage are underpricing without realizing it. They're running cash flow more on instinct than on a plan. Days get eaten by whatever's loudest instead of what actually moves things forward. That's normal in this stage. It's also the kind of thing that's easy to fix once you see it clearly.</w:t>
      </w:r>
    </w:p>
    <w:p>
      <w:pPr>
        <w:spacing w:after="40" w:before="140"/>
      </w:pPr>
      <w:r>
        <w:rPr>
          <w:b/>
          <w:bCs/>
          <w:color w:val="0F6E56"/>
          <w:sz w:val="20"/>
          <w:szCs w:val="20"/>
        </w:rPr>
        <w:t xml:space="preserve">CTA</w:t>
      </w:r>
    </w:p>
    <w:p>
      <w:pPr>
        <w:spacing w:after="100"/>
      </w:pPr>
      <w:r>
        <w:rPr>
          <w:b w:val="false"/>
          <w:bCs w:val="false"/>
          <w:sz w:val="22"/>
          <w:szCs w:val="22"/>
        </w:rPr>
        <w:t xml:space="preserve">Send My Assessment</w:t>
      </w:r>
    </w:p>
    <w:p>
      <w:pPr>
        <w:pStyle w:val="Heading1"/>
        <w:pBdr>
          <w:bottom w:val="single" w:color="0F6E56" w:sz="4" w:space="4"/>
        </w:pBdr>
        <w:spacing w:after="120" w:before="320"/>
      </w:pPr>
      <w:r>
        <w:rPr>
          <w:b/>
          <w:bCs/>
          <w:color w:val="0D1F4E"/>
          <w:sz w:val="28"/>
          <w:szCs w:val="28"/>
        </w:rPr>
        <w:t xml:space="preserve">Screen 2B — Expansion</w:t>
      </w:r>
    </w:p>
    <w:p>
      <w:pPr>
        <w:spacing w:after="40" w:before="140"/>
      </w:pPr>
      <w:r>
        <w:rPr>
          <w:b/>
          <w:bCs/>
          <w:color w:val="0F6E56"/>
          <w:sz w:val="20"/>
          <w:szCs w:val="20"/>
        </w:rPr>
        <w:t xml:space="preserve">Headline</w:t>
      </w:r>
    </w:p>
    <w:p>
      <w:pPr>
        <w:spacing w:after="100"/>
      </w:pPr>
      <w:r>
        <w:rPr>
          <w:b/>
          <w:bCs/>
          <w:sz w:val="22"/>
          <w:szCs w:val="22"/>
        </w:rPr>
        <w:t xml:space="preserve">You've outgrown the system and strategy that got you here.</w:t>
      </w:r>
    </w:p>
    <w:p>
      <w:pPr>
        <w:spacing w:after="40" w:before="140"/>
      </w:pPr>
      <w:r>
        <w:rPr>
          <w:b/>
          <w:bCs/>
          <w:color w:val="0F6E56"/>
          <w:sz w:val="20"/>
          <w:szCs w:val="20"/>
        </w:rPr>
        <w:t xml:space="preserve">Subhead</w:t>
      </w:r>
    </w:p>
    <w:p>
      <w:pPr>
        <w:spacing w:after="100"/>
      </w:pPr>
      <w:r>
        <w:rPr>
          <w:b w:val="false"/>
          <w:bCs w:val="false"/>
          <w:sz w:val="22"/>
          <w:szCs w:val="22"/>
        </w:rPr>
        <w:t xml:space="preserve">Answer fifty questions across ten areas in about twenty-five minutes. At the end you'll know which systems need to catch up first and which ones are already strong enough to carry more weight.</w:t>
      </w:r>
    </w:p>
    <w:p>
      <w:pPr>
        <w:spacing w:after="40" w:before="140"/>
      </w:pPr>
      <w:r>
        <w:rPr>
          <w:b/>
          <w:bCs/>
          <w:color w:val="0F6E56"/>
          <w:sz w:val="20"/>
          <w:szCs w:val="20"/>
        </w:rPr>
        <w:t xml:space="preserve">Body</w:t>
      </w:r>
    </w:p>
    <w:p>
      <w:pPr>
        <w:spacing w:after="100"/>
      </w:pPr>
      <w:r>
        <w:rPr>
          <w:b w:val="false"/>
          <w:bCs w:val="false"/>
          <w:sz w:val="22"/>
          <w:szCs w:val="22"/>
        </w:rPr>
        <w:t xml:space="preserve">Most owners in this range are stretched thinner than they'd admit. They're still in the middle of every decision, and good people are walking out the door. As volume climbs, service begins to slip. Growth does that. It keeps asking for a new version of the business, and the systems and strategy haven't caught up to this one yet.</w:t>
      </w:r>
    </w:p>
    <w:p>
      <w:pPr>
        <w:spacing w:after="40" w:before="140"/>
      </w:pPr>
      <w:r>
        <w:rPr>
          <w:b/>
          <w:bCs/>
          <w:color w:val="0F6E56"/>
          <w:sz w:val="20"/>
          <w:szCs w:val="20"/>
        </w:rPr>
        <w:t xml:space="preserve">CTA</w:t>
      </w:r>
    </w:p>
    <w:p>
      <w:pPr>
        <w:spacing w:after="100"/>
      </w:pPr>
      <w:r>
        <w:rPr>
          <w:b w:val="false"/>
          <w:bCs w:val="false"/>
          <w:sz w:val="22"/>
          <w:szCs w:val="22"/>
        </w:rPr>
        <w:t xml:space="preserve">Send My Assessment</w:t>
      </w:r>
    </w:p>
    <w:p>
      <w:pPr>
        <w:pStyle w:val="Heading1"/>
        <w:pBdr>
          <w:bottom w:val="single" w:color="0F6E56" w:sz="4" w:space="4"/>
        </w:pBdr>
        <w:spacing w:after="120" w:before="320"/>
      </w:pPr>
      <w:r>
        <w:rPr>
          <w:b/>
          <w:bCs/>
          <w:color w:val="0D1F4E"/>
          <w:sz w:val="28"/>
          <w:szCs w:val="28"/>
        </w:rPr>
        <w:t xml:space="preserve">Form (both paths, shared pattern)</w:t>
      </w:r>
    </w:p>
    <w:p>
      <w:pPr>
        <w:spacing w:after="100"/>
      </w:pPr>
      <w:r>
        <w:rPr>
          <w:b w:val="false"/>
          <w:bCs w:val="false"/>
          <w:sz w:val="22"/>
          <w:szCs w:val="22"/>
        </w:rPr>
        <w:t xml:space="preserve">Same pattern as the live Free Business Assessment page (HubSpot portal 110120, direct-download, no email): Name, Email, Company (optional), How did you hear about us? (optional), then the routing answer as a field. One form, one handler, conditional logic sends the matching PDF — the Stage 1/Stage 2 split docs already built (2026-10-08-core-business-assessment-stage1-core.docx and -stage2-expansion.docx).</w:t>
      </w:r>
    </w:p>
    <w:p>
      <w:pPr>
        <w:spacing w:after="100"/>
      </w:pPr>
      <w:r>
        <w:rPr>
          <w:b w:val="false"/>
          <w:bCs w:val="false"/>
          <w:sz w:val="22"/>
          <w:szCs w:val="22"/>
        </w:rPr>
        <w:t xml:space="preserve">The “How did you hear about us?” field closes a real gap flagged in context/brand-positioning-metrics.md — no intake attribution exists anywhere in the business today, and this is a new form, so there's nothing to retrofit.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2026-10-09T02:01:22.535Z</dcterms:created>
  <dcterms:modified xsi:type="dcterms:W3CDTF">2026-10-09T02:01:22.535Z</dcterms:modified>
</cp:coreProperties>
</file>

<file path=docProps/custom.xml><?xml version="1.0" encoding="utf-8"?>
<Properties xmlns="http://schemas.openxmlformats.org/officeDocument/2006/custom-properties" xmlns:vt="http://schemas.openxmlformats.org/officeDocument/2006/docPropsVTypes"/>
</file>