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sz w:val="48"/>
          <w:szCs w:val="48"/>
        </w:rPr>
        <w:t xml:space="preserve">Different is Better Than Better</w:t>
      </w:r>
    </w:p>
    <w:p>
      <w:pPr>
        <w:spacing w:after="60"/>
      </w:pPr>
      <w:r>
        <w:rPr>
          <w:i/>
          <w:iCs/>
          <w:sz w:val="24"/>
          <w:szCs w:val="24"/>
        </w:rPr>
        <w:t xml:space="preserve">Top Client Interview Synthesis</w:t>
      </w:r>
    </w:p>
    <w:p>
      <w:pPr>
        <w:spacing w:after="120"/>
      </w:pPr>
      <w:r>
        <w:rPr>
          <w:i w:val="false"/>
          <w:iCs w:val="false"/>
          <w:sz w:val="22"/>
          <w:szCs w:val="22"/>
        </w:rPr>
        <w:t xml:space="preserve">Synnovatia  |  Strategic Business Coaching</w:t>
      </w:r>
    </w:p>
    <w:p>
      <w:pPr>
        <w:spacing w:after="120"/>
      </w:pPr>
      <w:r>
        <w:rPr>
          <w:i/>
          <w:iCs/>
          <w:sz w:val="20"/>
          <w:szCs w:val="20"/>
        </w:rPr>
        <w:t xml:space="preserve">Living Document — Updated as interviews are completed</w:t>
      </w:r>
    </w:p>
    <w:p>
      <w:pPr>
        <w:pStyle w:val="Heading1"/>
        <w:spacing w:after="160" w:before="360"/>
      </w:pPr>
      <w:r>
        <w:rPr>
          <w:b/>
          <w:bCs/>
          <w:color w:val="0D1F4E"/>
          <w:sz w:val="30"/>
          <w:szCs w:val="30"/>
        </w:rPr>
        <w:t xml:space="preserve">About This Document</w:t>
      </w:r>
    </w:p>
    <w:p>
      <w:pPr>
        <w:spacing w:after="160"/>
      </w:pPr>
      <w:r>
        <w:rPr>
          <w:sz w:val="22"/>
          <w:szCs w:val="22"/>
        </w:rPr>
        <w:t xml:space="preserve">This document captures and synthesizes insights from interviews with Synnovatia’s top clients as part of the “Different is Better Than Better” positioning initiative. Each interview explores why clients hired Synnovatia, why they continue to hire Synnovatia, and what makes the experience distinctly different from alternatives.</w:t>
      </w:r>
    </w:p>
    <w:p>
      <w:pPr>
        <w:spacing w:after="160"/>
      </w:pPr>
      <w:r>
        <w:rPr>
          <w:sz w:val="22"/>
          <w:szCs w:val="22"/>
        </w:rPr>
        <w:t xml:space="preserve">The document is organized in three sections:</w:t>
      </w:r>
    </w:p>
    <w:p>
      <w:pPr>
        <w:pStyle w:val="ListParagraph"/>
        <w:numPr>
          <w:ilvl w:val="0"/>
          <w:numId w:val="1"/>
        </w:numPr>
        <w:spacing w:after="80"/>
      </w:pPr>
      <w:r>
        <w:rPr>
          <w:sz w:val="22"/>
          <w:szCs w:val="22"/>
        </w:rPr>
        <w:t xml:space="preserve">Section 1 — Individual Interview Recaps: Full summary of each client conversation</w:t>
      </w:r>
    </w:p>
    <w:p>
      <w:pPr>
        <w:pStyle w:val="ListParagraph"/>
        <w:numPr>
          <w:ilvl w:val="0"/>
          <w:numId w:val="1"/>
        </w:numPr>
        <w:spacing w:after="80"/>
      </w:pPr>
      <w:r>
        <w:rPr>
          <w:sz w:val="22"/>
          <w:szCs w:val="22"/>
        </w:rPr>
        <w:t xml:space="preserve">Section 2 — Proof Points Tracker: Strongest differentiator signals flagged for positioning use</w:t>
      </w:r>
    </w:p>
    <w:p>
      <w:pPr>
        <w:pStyle w:val="ListParagraph"/>
        <w:numPr>
          <w:ilvl w:val="0"/>
          <w:numId w:val="1"/>
        </w:numPr>
        <w:spacing w:after="80"/>
      </w:pPr>
      <w:r>
        <w:rPr>
          <w:sz w:val="22"/>
          <w:szCs w:val="22"/>
        </w:rPr>
        <w:t xml:space="preserve">Section 3 — Cross-Interview Themes: Patterns emerging across clients, updated as interviews accumulate</w:t>
      </w:r>
    </w:p>
    <w:p>
      <w:pPr>
        <w:pStyle w:val="Heading1"/>
        <w:spacing w:after="160" w:before="360"/>
      </w:pPr>
      <w:r>
        <w:rPr>
          <w:b/>
          <w:bCs/>
          <w:color w:val="0D1F4E"/>
          <w:sz w:val="30"/>
          <w:szCs w:val="30"/>
        </w:rPr>
        <w:t xml:space="preserve">Interview Roster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0D1F4E" w:val="clear"/>
            <w:tcMar>
              <w:top w:type="dxa" w:w="100"/>
              <w:left w:type="dxa" w:w="100"/>
              <w:bottom w:type="dxa" w:w="100"/>
              <w:right w:type="dxa" w:w="100"/>
            </w:tcMar>
          </w:tcPr>
          <w:p>
            <w:r>
              <w:rPr>
                <w:b/>
                <w:bCs/>
                <w:i w:val="false"/>
                <w:iCs w:val="false"/>
                <w:sz w:val="20"/>
                <w:szCs w:val="20"/>
              </w:rPr>
              <w:t xml:space="preserve">Client</w:t>
            </w:r>
          </w:p>
        </w:tc>
        <w:tc>
          <w:tcPr>
            <w:tcW w:type="dxa" w:w="3400"/>
            <w:shd w:fill="0D1F4E" w:val="clear"/>
            <w:tcMar>
              <w:top w:type="dxa" w:w="100"/>
              <w:left w:type="dxa" w:w="100"/>
              <w:bottom w:type="dxa" w:w="100"/>
              <w:right w:type="dxa" w:w="100"/>
            </w:tcMar>
          </w:tcPr>
          <w:p>
            <w:r>
              <w:rPr>
                <w:b/>
                <w:bCs/>
                <w:i w:val="false"/>
                <w:iCs w:val="false"/>
                <w:sz w:val="20"/>
                <w:szCs w:val="20"/>
              </w:rPr>
              <w:t xml:space="preserve">Organization</w:t>
            </w:r>
          </w:p>
        </w:tc>
        <w:tc>
          <w:tcPr>
            <w:tcW w:type="dxa" w:w="2000"/>
            <w:shd w:fill="0D1F4E" w:val="clear"/>
            <w:tcMar>
              <w:top w:type="dxa" w:w="100"/>
              <w:left w:type="dxa" w:w="100"/>
              <w:bottom w:type="dxa" w:w="100"/>
              <w:right w:type="dxa" w:w="100"/>
            </w:tcMar>
          </w:tcPr>
          <w:p>
            <w:r>
              <w:rPr>
                <w:b/>
                <w:bCs/>
                <w:i w:val="false"/>
                <w:iCs w:val="false"/>
                <w:sz w:val="20"/>
                <w:szCs w:val="20"/>
              </w:rPr>
              <w:t xml:space="preserve">Status</w:t>
            </w:r>
          </w:p>
        </w:tc>
      </w:tr>
      <w:tr>
        <w:tc>
          <w:tcPr>
            <w:tcW w:type="dxa" w:w="2600"/>
            <w:tcMar>
              <w:top w:type="dxa" w:w="100"/>
              <w:left w:type="dxa" w:w="100"/>
              <w:bottom w:type="dxa" w:w="100"/>
              <w:right w:type="dxa" w:w="100"/>
            </w:tcMar>
          </w:tcPr>
          <w:p>
            <w:r>
              <w:rPr>
                <w:b w:val="false"/>
                <w:bCs w:val="false"/>
                <w:i w:val="false"/>
                <w:iCs w:val="false"/>
                <w:sz w:val="20"/>
                <w:szCs w:val="20"/>
              </w:rPr>
              <w:t xml:space="preserve">Mark Chapman</w:t>
            </w:r>
          </w:p>
        </w:tc>
        <w:tc>
          <w:tcPr>
            <w:tcW w:type="dxa" w:w="3400"/>
            <w:tcMar>
              <w:top w:type="dxa" w:w="100"/>
              <w:left w:type="dxa" w:w="100"/>
              <w:bottom w:type="dxa" w:w="100"/>
              <w:right w:type="dxa" w:w="100"/>
            </w:tcMar>
          </w:tcPr>
          <w:p>
            <w:r>
              <w:rPr>
                <w:b w:val="false"/>
                <w:bCs w:val="false"/>
                <w:i w:val="false"/>
                <w:iCs w:val="false"/>
                <w:sz w:val="20"/>
                <w:szCs w:val="20"/>
              </w:rPr>
              <w:t xml:space="preserve">The I Do Society</w:t>
            </w:r>
          </w:p>
        </w:tc>
        <w:tc>
          <w:tcPr>
            <w:tcW w:type="dxa" w:w="2000"/>
            <w:tcMar>
              <w:top w:type="dxa" w:w="100"/>
              <w:left w:type="dxa" w:w="100"/>
              <w:bottom w:type="dxa" w:w="100"/>
              <w:right w:type="dxa" w:w="100"/>
            </w:tcMar>
          </w:tcPr>
          <w:p>
            <w:r>
              <w:rPr>
                <w:b w:val="false"/>
                <w:bCs w:val="false"/>
                <w:i w:val="false"/>
                <w:iCs w:val="false"/>
                <w:sz w:val="20"/>
                <w:szCs w:val="20"/>
              </w:rPr>
              <w:t xml:space="preserve">✓ Complete</w:t>
            </w:r>
          </w:p>
        </w:tc>
      </w:tr>
      <w:tr>
        <w:tc>
          <w:tcPr>
            <w:tcW w:type="dxa" w:w="2600"/>
            <w:tcMar>
              <w:top w:type="dxa" w:w="100"/>
              <w:left w:type="dxa" w:w="100"/>
              <w:bottom w:type="dxa" w:w="100"/>
              <w:right w:type="dxa" w:w="100"/>
            </w:tcMar>
          </w:tcPr>
          <w:p>
            <w:r>
              <w:rPr>
                <w:b w:val="false"/>
                <w:bCs w:val="false"/>
                <w:i w:val="false"/>
                <w:iCs w:val="false"/>
                <w:sz w:val="20"/>
                <w:szCs w:val="20"/>
              </w:rPr>
              <w:t xml:space="preserve">Zoey Smith</w:t>
            </w:r>
          </w:p>
        </w:tc>
        <w:tc>
          <w:tcPr>
            <w:tcW w:type="dxa" w:w="3400"/>
            <w:tcMar>
              <w:top w:type="dxa" w:w="100"/>
              <w:left w:type="dxa" w:w="100"/>
              <w:bottom w:type="dxa" w:w="100"/>
              <w:right w:type="dxa" w:w="100"/>
            </w:tcMar>
          </w:tcPr>
          <w:p>
            <w:r>
              <w:rPr>
                <w:b w:val="false"/>
                <w:bCs w:val="false"/>
                <w:i w:val="false"/>
                <w:iCs w:val="false"/>
                <w:sz w:val="20"/>
                <w:szCs w:val="20"/>
              </w:rPr>
              <w:t xml:space="preserve">—</w:t>
            </w:r>
          </w:p>
        </w:tc>
        <w:tc>
          <w:tcPr>
            <w:tcW w:type="dxa" w:w="2000"/>
            <w:tcMar>
              <w:top w:type="dxa" w:w="100"/>
              <w:left w:type="dxa" w:w="100"/>
              <w:bottom w:type="dxa" w:w="100"/>
              <w:right w:type="dxa" w:w="100"/>
            </w:tcMar>
          </w:tcPr>
          <w:p>
            <w:r>
              <w:rPr>
                <w:b w:val="false"/>
                <w:bCs w:val="false"/>
                <w:i w:val="false"/>
                <w:iCs w:val="false"/>
                <w:sz w:val="20"/>
                <w:szCs w:val="20"/>
              </w:rPr>
              <w:t xml:space="preserve">Pending</w:t>
            </w:r>
          </w:p>
        </w:tc>
      </w:tr>
      <w:tr>
        <w:tc>
          <w:tcPr>
            <w:tcW w:type="dxa" w:w="2600"/>
            <w:tcMar>
              <w:top w:type="dxa" w:w="100"/>
              <w:left w:type="dxa" w:w="100"/>
              <w:bottom w:type="dxa" w:w="100"/>
              <w:right w:type="dxa" w:w="100"/>
            </w:tcMar>
          </w:tcPr>
          <w:p>
            <w:r>
              <w:rPr>
                <w:b w:val="false"/>
                <w:bCs w:val="false"/>
                <w:i w:val="false"/>
                <w:iCs w:val="false"/>
                <w:sz w:val="20"/>
                <w:szCs w:val="20"/>
              </w:rPr>
              <w:t xml:space="preserve">Anne Laguzza</w:t>
            </w:r>
          </w:p>
        </w:tc>
        <w:tc>
          <w:tcPr>
            <w:tcW w:type="dxa" w:w="3400"/>
            <w:tcMar>
              <w:top w:type="dxa" w:w="100"/>
              <w:left w:type="dxa" w:w="100"/>
              <w:bottom w:type="dxa" w:w="100"/>
              <w:right w:type="dxa" w:w="100"/>
            </w:tcMar>
          </w:tcPr>
          <w:p>
            <w:r>
              <w:rPr>
                <w:b w:val="false"/>
                <w:bCs w:val="false"/>
                <w:i w:val="false"/>
                <w:iCs w:val="false"/>
                <w:sz w:val="20"/>
                <w:szCs w:val="20"/>
              </w:rPr>
              <w:t xml:space="preserve">The Works Consulting</w:t>
            </w:r>
          </w:p>
        </w:tc>
        <w:tc>
          <w:tcPr>
            <w:tcW w:type="dxa" w:w="2000"/>
            <w:tcMar>
              <w:top w:type="dxa" w:w="100"/>
              <w:left w:type="dxa" w:w="100"/>
              <w:bottom w:type="dxa" w:w="100"/>
              <w:right w:type="dxa" w:w="100"/>
            </w:tcMar>
          </w:tcPr>
          <w:p>
            <w:r>
              <w:rPr>
                <w:b w:val="false"/>
                <w:bCs w:val="false"/>
                <w:i w:val="false"/>
                <w:iCs w:val="false"/>
                <w:sz w:val="20"/>
                <w:szCs w:val="20"/>
              </w:rPr>
              <w:t xml:space="preserve">✓ Complete</w:t>
            </w:r>
          </w:p>
        </w:tc>
      </w:tr>
      <w:tr>
        <w:tc>
          <w:tcPr>
            <w:tcW w:type="dxa" w:w="2600"/>
            <w:tcMar>
              <w:top w:type="dxa" w:w="100"/>
              <w:left w:type="dxa" w:w="100"/>
              <w:bottom w:type="dxa" w:w="100"/>
              <w:right w:type="dxa" w:w="100"/>
            </w:tcMar>
          </w:tcPr>
          <w:p>
            <w:r>
              <w:rPr>
                <w:b w:val="false"/>
                <w:bCs w:val="false"/>
                <w:i w:val="false"/>
                <w:iCs w:val="false"/>
                <w:sz w:val="20"/>
                <w:szCs w:val="20"/>
              </w:rPr>
              <w:t xml:space="preserve">Katie Hammond</w:t>
            </w:r>
          </w:p>
        </w:tc>
        <w:tc>
          <w:tcPr>
            <w:tcW w:type="dxa" w:w="3400"/>
            <w:tcMar>
              <w:top w:type="dxa" w:w="100"/>
              <w:left w:type="dxa" w:w="100"/>
              <w:bottom w:type="dxa" w:w="100"/>
              <w:right w:type="dxa" w:w="100"/>
            </w:tcMar>
          </w:tcPr>
          <w:p>
            <w:r>
              <w:rPr>
                <w:b w:val="false"/>
                <w:bCs w:val="false"/>
                <w:i w:val="false"/>
                <w:iCs w:val="false"/>
                <w:sz w:val="20"/>
                <w:szCs w:val="20"/>
              </w:rPr>
              <w:t xml:space="preserve">—</w:t>
            </w:r>
          </w:p>
        </w:tc>
        <w:tc>
          <w:tcPr>
            <w:tcW w:type="dxa" w:w="2000"/>
            <w:tcMar>
              <w:top w:type="dxa" w:w="100"/>
              <w:left w:type="dxa" w:w="100"/>
              <w:bottom w:type="dxa" w:w="100"/>
              <w:right w:type="dxa" w:w="100"/>
            </w:tcMar>
          </w:tcPr>
          <w:p>
            <w:r>
              <w:rPr>
                <w:b w:val="false"/>
                <w:bCs w:val="false"/>
                <w:i w:val="false"/>
                <w:iCs w:val="false"/>
                <w:sz w:val="20"/>
                <w:szCs w:val="20"/>
              </w:rPr>
              <w:t xml:space="preserve">Pending</w:t>
            </w:r>
          </w:p>
        </w:tc>
      </w:tr>
      <w:tr>
        <w:tc>
          <w:tcPr>
            <w:tcW w:type="dxa" w:w="2600"/>
            <w:tcMar>
              <w:top w:type="dxa" w:w="100"/>
              <w:left w:type="dxa" w:w="100"/>
              <w:bottom w:type="dxa" w:w="100"/>
              <w:right w:type="dxa" w:w="100"/>
            </w:tcMar>
          </w:tcPr>
          <w:p>
            <w:r>
              <w:rPr>
                <w:b w:val="false"/>
                <w:bCs w:val="false"/>
                <w:i w:val="false"/>
                <w:iCs w:val="false"/>
                <w:sz w:val="20"/>
                <w:szCs w:val="20"/>
              </w:rPr>
              <w:t xml:space="preserve">Sandra Martinez / Hilary Beck</w:t>
            </w:r>
          </w:p>
        </w:tc>
        <w:tc>
          <w:tcPr>
            <w:tcW w:type="dxa" w:w="3400"/>
            <w:tcMar>
              <w:top w:type="dxa" w:w="100"/>
              <w:left w:type="dxa" w:w="100"/>
              <w:bottom w:type="dxa" w:w="100"/>
              <w:right w:type="dxa" w:w="100"/>
            </w:tcMar>
          </w:tcPr>
          <w:p>
            <w:r>
              <w:rPr>
                <w:b w:val="false"/>
                <w:bCs w:val="false"/>
                <w:i w:val="false"/>
                <w:iCs w:val="false"/>
                <w:sz w:val="20"/>
                <w:szCs w:val="20"/>
              </w:rPr>
              <w:t xml:space="preserve">InPlay Showroom / Hello Earth Club</w:t>
            </w:r>
          </w:p>
        </w:tc>
        <w:tc>
          <w:tcPr>
            <w:tcW w:type="dxa" w:w="2000"/>
            <w:tcMar>
              <w:top w:type="dxa" w:w="100"/>
              <w:left w:type="dxa" w:w="100"/>
              <w:bottom w:type="dxa" w:w="100"/>
              <w:right w:type="dxa" w:w="100"/>
            </w:tcMar>
          </w:tcPr>
          <w:p>
            <w:r>
              <w:rPr>
                <w:b w:val="false"/>
                <w:bCs w:val="false"/>
                <w:i w:val="false"/>
                <w:iCs w:val="false"/>
                <w:sz w:val="20"/>
                <w:szCs w:val="20"/>
              </w:rPr>
              <w:t xml:space="preserve">✓ Complete</w:t>
            </w:r>
          </w:p>
        </w:tc>
      </w:tr>
      <w:tr>
        <w:tc>
          <w:tcPr>
            <w:tcW w:type="dxa" w:w="2600"/>
            <w:tcMar>
              <w:top w:type="dxa" w:w="100"/>
              <w:left w:type="dxa" w:w="100"/>
              <w:bottom w:type="dxa" w:w="100"/>
              <w:right w:type="dxa" w:w="100"/>
            </w:tcMar>
          </w:tcPr>
          <w:p>
            <w:r>
              <w:rPr>
                <w:b w:val="false"/>
                <w:bCs w:val="false"/>
                <w:i w:val="false"/>
                <w:iCs w:val="false"/>
                <w:sz w:val="20"/>
                <w:szCs w:val="20"/>
              </w:rPr>
              <w:t xml:space="preserve">Wilma Naschin</w:t>
            </w:r>
          </w:p>
        </w:tc>
        <w:tc>
          <w:tcPr>
            <w:tcW w:type="dxa" w:w="3400"/>
            <w:tcMar>
              <w:top w:type="dxa" w:w="100"/>
              <w:left w:type="dxa" w:w="100"/>
              <w:bottom w:type="dxa" w:w="100"/>
              <w:right w:type="dxa" w:w="100"/>
            </w:tcMar>
          </w:tcPr>
          <w:p>
            <w:r>
              <w:rPr>
                <w:b w:val="false"/>
                <w:bCs w:val="false"/>
                <w:i w:val="false"/>
                <w:iCs w:val="false"/>
                <w:sz w:val="20"/>
                <w:szCs w:val="20"/>
              </w:rPr>
              <w:t xml:space="preserve">—</w:t>
            </w:r>
          </w:p>
        </w:tc>
        <w:tc>
          <w:tcPr>
            <w:tcW w:type="dxa" w:w="2000"/>
            <w:tcMar>
              <w:top w:type="dxa" w:w="100"/>
              <w:left w:type="dxa" w:w="100"/>
              <w:bottom w:type="dxa" w:w="100"/>
              <w:right w:type="dxa" w:w="100"/>
            </w:tcMar>
          </w:tcPr>
          <w:p>
            <w:r>
              <w:rPr>
                <w:b w:val="false"/>
                <w:bCs w:val="false"/>
                <w:i w:val="false"/>
                <w:iCs w:val="false"/>
                <w:sz w:val="20"/>
                <w:szCs w:val="20"/>
              </w:rPr>
              <w:t xml:space="preserve">Pending</w:t>
            </w:r>
          </w:p>
        </w:tc>
      </w:tr>
      <w:tr>
        <w:tc>
          <w:tcPr>
            <w:tcW w:type="dxa" w:w="2600"/>
            <w:tcMar>
              <w:top w:type="dxa" w:w="100"/>
              <w:left w:type="dxa" w:w="100"/>
              <w:bottom w:type="dxa" w:w="100"/>
              <w:right w:type="dxa" w:w="100"/>
            </w:tcMar>
          </w:tcPr>
          <w:p>
            <w:r>
              <w:rPr>
                <w:b w:val="false"/>
                <w:bCs w:val="false"/>
                <w:i w:val="false"/>
                <w:iCs w:val="false"/>
                <w:sz w:val="20"/>
                <w:szCs w:val="20"/>
              </w:rPr>
              <w:t xml:space="preserve">Christina Carlson</w:t>
            </w:r>
          </w:p>
        </w:tc>
        <w:tc>
          <w:tcPr>
            <w:tcW w:type="dxa" w:w="3400"/>
            <w:tcMar>
              <w:top w:type="dxa" w:w="100"/>
              <w:left w:type="dxa" w:w="100"/>
              <w:bottom w:type="dxa" w:w="100"/>
              <w:right w:type="dxa" w:w="100"/>
            </w:tcMar>
          </w:tcPr>
          <w:p>
            <w:r>
              <w:rPr>
                <w:b w:val="false"/>
                <w:bCs w:val="false"/>
                <w:i w:val="false"/>
                <w:iCs w:val="false"/>
                <w:sz w:val="20"/>
                <w:szCs w:val="20"/>
              </w:rPr>
              <w:t xml:space="preserve">Unstuck, Inc.</w:t>
            </w:r>
          </w:p>
        </w:tc>
        <w:tc>
          <w:tcPr>
            <w:tcW w:type="dxa" w:w="2000"/>
            <w:tcMar>
              <w:top w:type="dxa" w:w="100"/>
              <w:left w:type="dxa" w:w="100"/>
              <w:bottom w:type="dxa" w:w="100"/>
              <w:right w:type="dxa" w:w="100"/>
            </w:tcMar>
          </w:tcPr>
          <w:p>
            <w:r>
              <w:rPr>
                <w:b w:val="false"/>
                <w:bCs w:val="false"/>
                <w:i w:val="false"/>
                <w:iCs w:val="false"/>
                <w:sz w:val="20"/>
                <w:szCs w:val="20"/>
              </w:rPr>
              <w:t xml:space="preserve">✓ Complete</w:t>
            </w:r>
          </w:p>
        </w:tc>
      </w:tr>
      <w:tr>
        <w:tc>
          <w:tcPr>
            <w:tcW w:type="dxa" w:w="2600"/>
            <w:tcMar>
              <w:top w:type="dxa" w:w="100"/>
              <w:left w:type="dxa" w:w="100"/>
              <w:bottom w:type="dxa" w:w="100"/>
              <w:right w:type="dxa" w:w="100"/>
            </w:tcMar>
          </w:tcPr>
          <w:p>
            <w:r>
              <w:rPr>
                <w:b w:val="false"/>
                <w:bCs w:val="false"/>
                <w:i w:val="false"/>
                <w:iCs w:val="false"/>
                <w:sz w:val="20"/>
                <w:szCs w:val="20"/>
              </w:rPr>
              <w:t xml:space="preserve">Amy Hage</w:t>
            </w:r>
          </w:p>
        </w:tc>
        <w:tc>
          <w:tcPr>
            <w:tcW w:type="dxa" w:w="3400"/>
            <w:tcMar>
              <w:top w:type="dxa" w:w="100"/>
              <w:left w:type="dxa" w:w="100"/>
              <w:bottom w:type="dxa" w:w="100"/>
              <w:right w:type="dxa" w:w="100"/>
            </w:tcMar>
          </w:tcPr>
          <w:p>
            <w:r>
              <w:rPr>
                <w:b w:val="false"/>
                <w:bCs w:val="false"/>
                <w:i w:val="false"/>
                <w:iCs w:val="false"/>
                <w:sz w:val="20"/>
                <w:szCs w:val="20"/>
              </w:rPr>
              <w:t xml:space="preserve">—</w:t>
            </w:r>
          </w:p>
        </w:tc>
        <w:tc>
          <w:tcPr>
            <w:tcW w:type="dxa" w:w="2000"/>
            <w:tcMar>
              <w:top w:type="dxa" w:w="100"/>
              <w:left w:type="dxa" w:w="100"/>
              <w:bottom w:type="dxa" w:w="100"/>
              <w:right w:type="dxa" w:w="100"/>
            </w:tcMar>
          </w:tcPr>
          <w:p>
            <w:r>
              <w:rPr>
                <w:b w:val="false"/>
                <w:bCs w:val="false"/>
                <w:i w:val="false"/>
                <w:iCs w:val="false"/>
                <w:sz w:val="20"/>
                <w:szCs w:val="20"/>
              </w:rPr>
              <w:t xml:space="preserve">Pending</w:t>
            </w:r>
          </w:p>
        </w:tc>
      </w:tr>
      <w:tr>
        <w:tc>
          <w:tcPr>
            <w:tcW w:type="dxa" w:w="2600"/>
            <w:tcMar>
              <w:top w:type="dxa" w:w="100"/>
              <w:left w:type="dxa" w:w="100"/>
              <w:bottom w:type="dxa" w:w="100"/>
              <w:right w:type="dxa" w:w="100"/>
            </w:tcMar>
          </w:tcPr>
          <w:p>
            <w:r>
              <w:rPr>
                <w:b w:val="false"/>
                <w:bCs w:val="false"/>
                <w:i w:val="false"/>
                <w:iCs w:val="false"/>
                <w:sz w:val="20"/>
                <w:szCs w:val="20"/>
              </w:rPr>
              <w:t xml:space="preserve">Laura Labovich</w:t>
            </w:r>
          </w:p>
        </w:tc>
        <w:tc>
          <w:tcPr>
            <w:tcW w:type="dxa" w:w="3400"/>
            <w:tcMar>
              <w:top w:type="dxa" w:w="100"/>
              <w:left w:type="dxa" w:w="100"/>
              <w:bottom w:type="dxa" w:w="100"/>
              <w:right w:type="dxa" w:w="100"/>
            </w:tcMar>
          </w:tcPr>
          <w:p>
            <w:r>
              <w:rPr>
                <w:b w:val="false"/>
                <w:bCs w:val="false"/>
                <w:i w:val="false"/>
                <w:iCs w:val="false"/>
                <w:sz w:val="20"/>
                <w:szCs w:val="20"/>
              </w:rPr>
              <w:t xml:space="preserve">The Career Strategy Group</w:t>
            </w:r>
          </w:p>
        </w:tc>
        <w:tc>
          <w:tcPr>
            <w:tcW w:type="dxa" w:w="2000"/>
            <w:tcMar>
              <w:top w:type="dxa" w:w="100"/>
              <w:left w:type="dxa" w:w="100"/>
              <w:bottom w:type="dxa" w:w="100"/>
              <w:right w:type="dxa" w:w="100"/>
            </w:tcMar>
          </w:tcPr>
          <w:p>
            <w:r>
              <w:rPr>
                <w:b w:val="false"/>
                <w:bCs w:val="false"/>
                <w:i w:val="false"/>
                <w:iCs w:val="false"/>
                <w:sz w:val="20"/>
                <w:szCs w:val="20"/>
              </w:rPr>
              <w:t xml:space="preserve">✓ Complete</w:t>
            </w:r>
          </w:p>
        </w:tc>
      </w:tr>
      <w:tr>
        <w:tc>
          <w:tcPr>
            <w:tcW w:type="dxa" w:w="2600"/>
            <w:tcMar>
              <w:top w:type="dxa" w:w="100"/>
              <w:left w:type="dxa" w:w="100"/>
              <w:bottom w:type="dxa" w:w="100"/>
              <w:right w:type="dxa" w:w="100"/>
            </w:tcMar>
          </w:tcPr>
          <w:p>
            <w:r>
              <w:rPr>
                <w:b w:val="false"/>
                <w:bCs w:val="false"/>
                <w:i w:val="false"/>
                <w:iCs w:val="false"/>
                <w:sz w:val="20"/>
                <w:szCs w:val="20"/>
              </w:rPr>
              <w:t xml:space="preserve">Naya Troup</w:t>
            </w:r>
          </w:p>
        </w:tc>
        <w:tc>
          <w:tcPr>
            <w:tcW w:type="dxa" w:w="3400"/>
            <w:tcMar>
              <w:top w:type="dxa" w:w="100"/>
              <w:left w:type="dxa" w:w="100"/>
              <w:bottom w:type="dxa" w:w="100"/>
              <w:right w:type="dxa" w:w="100"/>
            </w:tcMar>
          </w:tcPr>
          <w:p>
            <w:r>
              <w:rPr>
                <w:b w:val="false"/>
                <w:bCs w:val="false"/>
                <w:i w:val="false"/>
                <w:iCs w:val="false"/>
                <w:sz w:val="20"/>
                <w:szCs w:val="20"/>
              </w:rPr>
              <w:t xml:space="preserve">First Legal</w:t>
            </w:r>
          </w:p>
        </w:tc>
        <w:tc>
          <w:tcPr>
            <w:tcW w:type="dxa" w:w="2000"/>
            <w:tcMar>
              <w:top w:type="dxa" w:w="100"/>
              <w:left w:type="dxa" w:w="100"/>
              <w:bottom w:type="dxa" w:w="100"/>
              <w:right w:type="dxa" w:w="100"/>
            </w:tcMar>
          </w:tcPr>
          <w:p>
            <w:r>
              <w:rPr>
                <w:b w:val="false"/>
                <w:bCs w:val="false"/>
                <w:i w:val="false"/>
                <w:iCs w:val="false"/>
                <w:sz w:val="20"/>
                <w:szCs w:val="20"/>
              </w:rPr>
              <w:t xml:space="preserve">✓ Complete</w:t>
            </w:r>
          </w:p>
        </w:tc>
      </w:tr>
      <w:tr>
        <w:tc>
          <w:tcPr>
            <w:tcW w:type="dxa" w:w="2600"/>
            <w:tcMar>
              <w:top w:type="dxa" w:w="100"/>
              <w:left w:type="dxa" w:w="100"/>
              <w:bottom w:type="dxa" w:w="100"/>
              <w:right w:type="dxa" w:w="100"/>
            </w:tcMar>
          </w:tcPr>
          <w:p>
            <w:r>
              <w:rPr>
                <w:b w:val="false"/>
                <w:bCs w:val="false"/>
                <w:i w:val="false"/>
                <w:iCs w:val="false"/>
                <w:sz w:val="20"/>
                <w:szCs w:val="20"/>
              </w:rPr>
              <w:t xml:space="preserve">Pete Ford</w:t>
            </w:r>
          </w:p>
        </w:tc>
        <w:tc>
          <w:tcPr>
            <w:tcW w:type="dxa" w:w="3400"/>
            <w:tcMar>
              <w:top w:type="dxa" w:w="100"/>
              <w:left w:type="dxa" w:w="100"/>
              <w:bottom w:type="dxa" w:w="100"/>
              <w:right w:type="dxa" w:w="100"/>
            </w:tcMar>
          </w:tcPr>
          <w:p>
            <w:r>
              <w:rPr>
                <w:b w:val="false"/>
                <w:bCs w:val="false"/>
                <w:i w:val="false"/>
                <w:iCs w:val="false"/>
                <w:sz w:val="20"/>
                <w:szCs w:val="20"/>
              </w:rPr>
              <w:t xml:space="preserve">—</w:t>
            </w:r>
          </w:p>
        </w:tc>
        <w:tc>
          <w:tcPr>
            <w:tcW w:type="dxa" w:w="2000"/>
            <w:tcMar>
              <w:top w:type="dxa" w:w="100"/>
              <w:left w:type="dxa" w:w="100"/>
              <w:bottom w:type="dxa" w:w="100"/>
              <w:right w:type="dxa" w:w="100"/>
            </w:tcMar>
          </w:tcPr>
          <w:p>
            <w:r>
              <w:rPr>
                <w:b w:val="false"/>
                <w:bCs w:val="false"/>
                <w:i w:val="false"/>
                <w:iCs w:val="false"/>
                <w:sz w:val="20"/>
                <w:szCs w:val="20"/>
              </w:rPr>
              <w:t xml:space="preserve">Pending</w:t>
            </w:r>
          </w:p>
        </w:tc>
      </w:tr>
      <w:tr>
        <w:tc>
          <w:tcPr>
            <w:tcW w:type="dxa" w:w="2600"/>
            <w:tcMar>
              <w:top w:type="dxa" w:w="100"/>
              <w:left w:type="dxa" w:w="100"/>
              <w:bottom w:type="dxa" w:w="100"/>
              <w:right w:type="dxa" w:w="100"/>
            </w:tcMar>
          </w:tcPr>
          <w:p>
            <w:r>
              <w:rPr>
                <w:b w:val="false"/>
                <w:bCs w:val="false"/>
                <w:i w:val="false"/>
                <w:iCs w:val="false"/>
                <w:sz w:val="20"/>
                <w:szCs w:val="20"/>
              </w:rPr>
              <w:t xml:space="preserve">Raffi Saroyan</w:t>
            </w:r>
          </w:p>
        </w:tc>
        <w:tc>
          <w:tcPr>
            <w:tcW w:type="dxa" w:w="3400"/>
            <w:tcMar>
              <w:top w:type="dxa" w:w="100"/>
              <w:left w:type="dxa" w:w="100"/>
              <w:bottom w:type="dxa" w:w="100"/>
              <w:right w:type="dxa" w:w="100"/>
            </w:tcMar>
          </w:tcPr>
          <w:p>
            <w:r>
              <w:rPr>
                <w:b w:val="false"/>
                <w:bCs w:val="false"/>
                <w:i w:val="false"/>
                <w:iCs w:val="false"/>
                <w:sz w:val="20"/>
                <w:szCs w:val="20"/>
              </w:rPr>
              <w:t xml:space="preserve">—</w:t>
            </w:r>
          </w:p>
        </w:tc>
        <w:tc>
          <w:tcPr>
            <w:tcW w:type="dxa" w:w="2000"/>
            <w:tcMar>
              <w:top w:type="dxa" w:w="100"/>
              <w:left w:type="dxa" w:w="100"/>
              <w:bottom w:type="dxa" w:w="100"/>
              <w:right w:type="dxa" w:w="100"/>
            </w:tcMar>
          </w:tcPr>
          <w:p>
            <w:r>
              <w:rPr>
                <w:b w:val="false"/>
                <w:bCs w:val="false"/>
                <w:i w:val="false"/>
                <w:iCs w:val="false"/>
                <w:sz w:val="20"/>
                <w:szCs w:val="20"/>
              </w:rPr>
              <w:t xml:space="preserve">✓ Complete</w:t>
            </w:r>
          </w:p>
        </w:tc>
      </w:tr>
      <w:tr>
        <w:tc>
          <w:tcPr>
            <w:tcW w:type="dxa" w:w="2600"/>
            <w:tcMar>
              <w:top w:type="dxa" w:w="100"/>
              <w:left w:type="dxa" w:w="100"/>
              <w:bottom w:type="dxa" w:w="100"/>
              <w:right w:type="dxa" w:w="100"/>
            </w:tcMar>
          </w:tcPr>
          <w:p>
            <w:r>
              <w:rPr>
                <w:b w:val="false"/>
                <w:bCs w:val="false"/>
                <w:i w:val="false"/>
                <w:iCs w:val="false"/>
                <w:sz w:val="20"/>
                <w:szCs w:val="20"/>
              </w:rPr>
              <w:t xml:space="preserve">Craig Ullom</w:t>
            </w:r>
          </w:p>
        </w:tc>
        <w:tc>
          <w:tcPr>
            <w:tcW w:type="dxa" w:w="3400"/>
            <w:tcMar>
              <w:top w:type="dxa" w:w="100"/>
              <w:left w:type="dxa" w:w="100"/>
              <w:bottom w:type="dxa" w:w="100"/>
              <w:right w:type="dxa" w:w="100"/>
            </w:tcMar>
          </w:tcPr>
          <w:p>
            <w:r>
              <w:rPr>
                <w:b w:val="false"/>
                <w:bCs w:val="false"/>
                <w:i w:val="false"/>
                <w:iCs w:val="false"/>
                <w:sz w:val="20"/>
                <w:szCs w:val="20"/>
              </w:rPr>
              <w:t xml:space="preserve">—</w:t>
            </w:r>
          </w:p>
        </w:tc>
        <w:tc>
          <w:tcPr>
            <w:tcW w:type="dxa" w:w="2000"/>
            <w:tcMar>
              <w:top w:type="dxa" w:w="100"/>
              <w:left w:type="dxa" w:w="100"/>
              <w:bottom w:type="dxa" w:w="100"/>
              <w:right w:type="dxa" w:w="100"/>
            </w:tcMar>
          </w:tcPr>
          <w:p>
            <w:r>
              <w:rPr>
                <w:b w:val="false"/>
                <w:bCs w:val="false"/>
                <w:i w:val="false"/>
                <w:iCs w:val="false"/>
                <w:sz w:val="20"/>
                <w:szCs w:val="20"/>
              </w:rPr>
              <w:t xml:space="preserve">✓ Complete</w:t>
            </w:r>
          </w:p>
        </w:tc>
      </w:tr>
    </w:tbl>
    <w:p>
      <w:pPr>
        <w:spacing w:after="200"/>
      </w:pPr>
    </w:p>
    <w:p>
      <w:pPr>
        <w:pStyle w:val="Heading1"/>
        <w:spacing w:after="160" w:before="360"/>
      </w:pPr>
      <w:r>
        <w:rPr>
          <w:b/>
          <w:bCs/>
          <w:color w:val="0D1F4E"/>
          <w:sz w:val="30"/>
          <w:szCs w:val="30"/>
        </w:rPr>
        <w:t xml:space="preserve">SECTION 1 — Individual Interview Recaps</w:t>
      </w:r>
    </w:p>
    <w:p>
      <w:pPr>
        <w:pStyle w:val="Heading2"/>
        <w:spacing w:after="120" w:before="280"/>
      </w:pPr>
      <w:r>
        <w:rPr>
          <w:b/>
          <w:bCs/>
          <w:color w:val="0D1F4E"/>
          <w:sz w:val="26"/>
          <w:szCs w:val="26"/>
        </w:rPr>
        <w:t xml:space="preserve">Mark Chapman</w:t>
      </w:r>
    </w:p>
    <w:p>
      <w:pPr>
        <w:spacing w:after="160"/>
      </w:pPr>
      <w:r>
        <w:rPr>
          <w:i/>
          <w:iCs/>
          <w:sz w:val="22"/>
          <w:szCs w:val="22"/>
        </w:rPr>
        <w:t xml:space="preserve">The I Do Society  |  Client since 2014</w:t>
      </w:r>
    </w:p>
    <w:p>
      <w:pPr>
        <w:spacing w:after="80" w:before="200"/>
      </w:pPr>
      <w:r>
        <w:rPr>
          <w:b/>
          <w:bCs/>
          <w:i/>
          <w:iCs/>
          <w:sz w:val="22"/>
          <w:szCs w:val="22"/>
        </w:rPr>
        <w:t xml:space="preserve">Why He Hired Synnovatia</w:t>
      </w:r>
    </w:p>
    <w:p>
      <w:pPr>
        <w:spacing w:after="160"/>
      </w:pPr>
      <w:r>
        <w:rPr>
          <w:sz w:val="22"/>
          <w:szCs w:val="22"/>
        </w:rPr>
        <w:t xml:space="preserve">Mark wasn’t pressured into the relationship — he came in on his own terms, which was important to him. What sealed his confidence wasn’t a pitch or a packaged program; it was the initial meeting with Jackie. She earned his trust in that first conversation by demonstrating she understood the struggles of being a business owner — not from a distance, but from lived experience.</w:t>
      </w:r>
    </w:p>
    <w:p>
      <w:pPr>
        <w:spacing w:after="160"/>
      </w:pPr>
      <w:r>
        <w:rPr>
          <w:sz w:val="22"/>
          <w:szCs w:val="22"/>
        </w:rPr>
        <w:t xml:space="preserve">He was also drawn to the absence of a one-size-fits-all approach. No program. No system. Jackie listened, offered options tailored to his situation, and provided individual attention rather than folding him into a group.</w:t>
      </w:r>
    </w:p>
    <w:p>
      <w:pPr>
        <w:spacing w:after="80" w:before="200"/>
      </w:pPr>
      <w:r>
        <w:rPr>
          <w:b/>
          <w:bCs/>
          <w:i/>
          <w:iCs/>
          <w:sz w:val="22"/>
          <w:szCs w:val="22"/>
        </w:rPr>
        <w:t xml:space="preserve">The Value Jackie Delivers</w:t>
      </w:r>
    </w:p>
    <w:p>
      <w:pPr>
        <w:spacing w:after="160"/>
      </w:pPr>
      <w:r>
        <w:rPr>
          <w:sz w:val="22"/>
          <w:szCs w:val="22"/>
        </w:rPr>
        <w:t xml:space="preserve">Mark’s core insight: he was too close to his own business to see it clearly. Jackie’s outside perspective removed that blind spot — and more importantly, she removed the fear from decision-making. Her advice carries weight because it’s grounded in her own longevity in business and breadth of experience working with other owners. That combination — wisdom + pattern recognition — gave him confidence where he previously had none.</w:t>
      </w:r>
    </w:p>
    <w:p>
      <w:pPr>
        <w:spacing w:after="160"/>
      </w:pPr>
      <w:r>
        <w:rPr>
          <w:sz w:val="22"/>
          <w:szCs w:val="22"/>
        </w:rPr>
        <w:t xml:space="preserve">She also modeled intellectual honesty: when she didn’t know something, she said so and found the right resources rather than bluffing through it. That transparency built trust.</w:t>
      </w:r>
    </w:p>
    <w:p>
      <w:pPr>
        <w:spacing w:after="80" w:before="200"/>
      </w:pPr>
      <w:r>
        <w:rPr>
          <w:b/>
          <w:bCs/>
          <w:i/>
          <w:iCs/>
          <w:sz w:val="22"/>
          <w:szCs w:val="22"/>
        </w:rPr>
        <w:t xml:space="preserve">What Made Her Human</w:t>
      </w:r>
    </w:p>
    <w:p>
      <w:pPr>
        <w:spacing w:after="160"/>
      </w:pPr>
      <w:r>
        <w:rPr>
          <w:sz w:val="22"/>
          <w:szCs w:val="22"/>
        </w:rPr>
        <w:t xml:space="preserve">Mark didn’t experience Jackie as a coach selling a methodology — he experienced her as a fellow business owner who gets it. She shared her own personal business experiences openly, which made her relatable and real. He felt seen, not processed.</w:t>
      </w:r>
    </w:p>
    <w:p>
      <w:pPr>
        <w:spacing w:after="80" w:before="200"/>
      </w:pPr>
      <w:r>
        <w:rPr>
          <w:b/>
          <w:bCs/>
          <w:sz w:val="22"/>
          <w:szCs w:val="22"/>
        </w:rPr>
        <w:t xml:space="preserve">Key Themes</w:t>
      </w:r>
    </w:p>
    <w:p>
      <w:pPr>
        <w:pStyle w:val="ListParagraph"/>
        <w:numPr>
          <w:ilvl w:val="0"/>
          <w:numId w:val="1"/>
        </w:numPr>
        <w:spacing w:after="80"/>
      </w:pPr>
      <w:r>
        <w:rPr>
          <w:sz w:val="22"/>
          <w:szCs w:val="22"/>
        </w:rPr>
        <w:t xml:space="preserve">Personalized, individual attention vs. group/program-based alternatives</w:t>
      </w:r>
    </w:p>
    <w:p>
      <w:pPr>
        <w:pStyle w:val="ListParagraph"/>
        <w:numPr>
          <w:ilvl w:val="0"/>
          <w:numId w:val="1"/>
        </w:numPr>
        <w:spacing w:after="80"/>
      </w:pPr>
      <w:r>
        <w:rPr>
          <w:sz w:val="22"/>
          <w:szCs w:val="22"/>
        </w:rPr>
        <w:t xml:space="preserve">Outside objectivity as a core value-add — clients are too close to see themselves clearly</w:t>
      </w:r>
    </w:p>
    <w:p>
      <w:pPr>
        <w:pStyle w:val="ListParagraph"/>
        <w:numPr>
          <w:ilvl w:val="0"/>
          <w:numId w:val="1"/>
        </w:numPr>
        <w:spacing w:after="80"/>
      </w:pPr>
      <w:r>
        <w:rPr>
          <w:sz w:val="22"/>
          <w:szCs w:val="22"/>
        </w:rPr>
        <w:t xml:space="preserve">Fear reduction through experienced, wisdom-based guidance</w:t>
      </w:r>
    </w:p>
    <w:p>
      <w:pPr>
        <w:pStyle w:val="ListParagraph"/>
        <w:numPr>
          <w:ilvl w:val="0"/>
          <w:numId w:val="1"/>
        </w:numPr>
        <w:spacing w:after="80"/>
      </w:pPr>
      <w:r>
        <w:rPr>
          <w:sz w:val="22"/>
          <w:szCs w:val="22"/>
        </w:rPr>
        <w:t xml:space="preserve">Human connection and transparency as differentiators</w:t>
      </w:r>
    </w:p>
    <w:p>
      <w:pPr>
        <w:pStyle w:val="ListParagraph"/>
        <w:numPr>
          <w:ilvl w:val="0"/>
          <w:numId w:val="1"/>
        </w:numPr>
        <w:spacing w:after="80"/>
      </w:pPr>
      <w:r>
        <w:rPr>
          <w:sz w:val="22"/>
          <w:szCs w:val="22"/>
        </w:rPr>
        <w:t xml:space="preserve">Trust earned through demonstrated empathy and lived experience, not credentials</w:t>
      </w:r>
    </w:p>
    <w:p>
      <w:pPr>
        <w:pStyle w:val="Heading2"/>
        <w:spacing w:after="120" w:before="280"/>
      </w:pPr>
      <w:r>
        <w:rPr>
          <w:b/>
          <w:bCs/>
          <w:color w:val="0D1F4E"/>
          <w:sz w:val="26"/>
          <w:szCs w:val="26"/>
        </w:rPr>
        <w:t xml:space="preserve">Christina Carlson</w:t>
      </w:r>
    </w:p>
    <w:p>
      <w:pPr>
        <w:spacing w:after="160"/>
      </w:pPr>
      <w:r>
        <w:rPr>
          <w:i/>
          <w:iCs/>
          <w:sz w:val="22"/>
          <w:szCs w:val="22"/>
        </w:rPr>
        <w:t xml:space="preserve">Unstuck, Inc.  |  CEO &amp; Founder</w:t>
      </w:r>
    </w:p>
    <w:p>
      <w:pPr>
        <w:spacing w:after="80" w:before="200"/>
      </w:pPr>
      <w:r>
        <w:rPr>
          <w:b/>
          <w:bCs/>
          <w:i/>
          <w:iCs/>
          <w:sz w:val="22"/>
          <w:szCs w:val="22"/>
        </w:rPr>
        <w:t xml:space="preserve">Why She Hired / Continues to Hire Synnovatia</w:t>
      </w:r>
    </w:p>
    <w:p>
      <w:pPr>
        <w:spacing w:after="160"/>
      </w:pPr>
      <w:r>
        <w:rPr>
          <w:sz w:val="22"/>
          <w:szCs w:val="22"/>
        </w:rPr>
        <w:t xml:space="preserve">Christina’s experience with Jackie is built on a foundation of credibility — not just theoretical knowledge, but the kind that comes from someone who has actually lived the entrepreneurial life. Jackie walks the talk. That authenticity is what earns and keeps Christina’s trust.</w:t>
      </w:r>
    </w:p>
    <w:p>
      <w:pPr>
        <w:spacing w:after="80" w:before="200"/>
      </w:pPr>
      <w:r>
        <w:rPr>
          <w:b/>
          <w:bCs/>
          <w:i/>
          <w:iCs/>
          <w:sz w:val="22"/>
          <w:szCs w:val="22"/>
        </w:rPr>
        <w:t xml:space="preserve">The Way Jackie Works</w:t>
      </w:r>
    </w:p>
    <w:p>
      <w:pPr>
        <w:spacing w:after="160"/>
      </w:pPr>
      <w:r>
        <w:rPr>
          <w:sz w:val="22"/>
          <w:szCs w:val="22"/>
        </w:rPr>
        <w:t xml:space="preserve">Christina described Jackie’s approach with a quality that’s hard to manufacture: intuition. Jackie reads a situation quickly and accurately, which allows the work to move fast — but not recklessly. It’s fast and well, a combination that matters enormously to a founder who doesn’t have time to waste but also can’t afford to get it wrong.</w:t>
      </w:r>
    </w:p>
    <w:p>
      <w:pPr>
        <w:spacing w:after="160"/>
      </w:pPr>
      <w:r>
        <w:rPr>
          <w:sz w:val="22"/>
          <w:szCs w:val="22"/>
        </w:rPr>
        <w:t xml:space="preserve">The way Jackie balances kindness with assertiveness stood out as distinctly her — not a technique, but a genuine style that Christina experiences as having her back. Jackie pushes. She challenges the gap between where a client is and where they need to be. But she does it with care, not edge.</w:t>
      </w:r>
    </w:p>
    <w:p>
      <w:pPr>
        <w:spacing w:after="80" w:before="200"/>
      </w:pPr>
      <w:r>
        <w:rPr>
          <w:b/>
          <w:bCs/>
          <w:i/>
          <w:iCs/>
          <w:sz w:val="22"/>
          <w:szCs w:val="22"/>
        </w:rPr>
        <w:t xml:space="preserve">Holding Space for the Emotional Reality of Entrepreneurship</w:t>
      </w:r>
    </w:p>
    <w:p>
      <w:pPr>
        <w:spacing w:after="160"/>
      </w:pPr>
      <w:r>
        <w:rPr>
          <w:sz w:val="22"/>
          <w:szCs w:val="22"/>
        </w:rPr>
        <w:t xml:space="preserve">One of Christina’s most telling observations: Jackie doesn’t negate the emotional piece. She holds space for clients to feel what they’re feeling — the frustration, the ache, the moments that are hard — because she recognizes that emotion is a normal, legitimate part of running a business. And then, critically, she knows when it’s time to move on. That discernment — sit with it, then shift — is a skill most coaches either skip the first half or get stuck in the second.</w:t>
      </w:r>
    </w:p>
    <w:p>
      <w:pPr>
        <w:spacing w:after="80" w:before="200"/>
      </w:pPr>
      <w:r>
        <w:rPr>
          <w:b/>
          <w:bCs/>
          <w:i/>
          <w:iCs/>
          <w:sz w:val="22"/>
          <w:szCs w:val="22"/>
        </w:rPr>
        <w:t xml:space="preserve">Understanding the Entrepreneur vs. Leader Distinction</w:t>
      </w:r>
    </w:p>
    <w:p>
      <w:pPr>
        <w:spacing w:after="160"/>
      </w:pPr>
      <w:r>
        <w:rPr>
          <w:sz w:val="22"/>
          <w:szCs w:val="22"/>
        </w:rPr>
        <w:t xml:space="preserve">Christina articulated something that Jackie clearly gets at a deep level: entrepreneurship is not the same as leadership, and the distinction isn’t academic. An entrepreneur often cannot put things down — because putting things down can mean no revenue and no growth. The stakes are personal and immediate in a way that traditional leadership frameworks simply don’t account for. Jackie understands this, and it shapes how she coaches — no generic advice, no solutions designed for someone with a team of 500.</w:t>
      </w:r>
    </w:p>
    <w:p>
      <w:pPr>
        <w:spacing w:after="80" w:before="200"/>
      </w:pPr>
      <w:r>
        <w:rPr>
          <w:b/>
          <w:bCs/>
          <w:sz w:val="22"/>
          <w:szCs w:val="22"/>
        </w:rPr>
        <w:t xml:space="preserve">Key Themes</w:t>
      </w:r>
    </w:p>
    <w:p>
      <w:pPr>
        <w:pStyle w:val="ListParagraph"/>
        <w:numPr>
          <w:ilvl w:val="0"/>
          <w:numId w:val="1"/>
        </w:numPr>
        <w:spacing w:after="80"/>
      </w:pPr>
      <w:r>
        <w:rPr>
          <w:sz w:val="22"/>
          <w:szCs w:val="22"/>
        </w:rPr>
        <w:t xml:space="preserve">Walks the talk — credibility through lived experience, not just expertise</w:t>
      </w:r>
    </w:p>
    <w:p>
      <w:pPr>
        <w:pStyle w:val="ListParagraph"/>
        <w:numPr>
          <w:ilvl w:val="0"/>
          <w:numId w:val="1"/>
        </w:numPr>
        <w:spacing w:after="80"/>
      </w:pPr>
      <w:r>
        <w:rPr>
          <w:sz w:val="22"/>
          <w:szCs w:val="22"/>
        </w:rPr>
        <w:t xml:space="preserve">Intuitive coaching that enables speed without sacrificing quality</w:t>
      </w:r>
    </w:p>
    <w:p>
      <w:pPr>
        <w:pStyle w:val="ListParagraph"/>
        <w:numPr>
          <w:ilvl w:val="0"/>
          <w:numId w:val="1"/>
        </w:numPr>
        <w:spacing w:after="80"/>
      </w:pPr>
      <w:r>
        <w:rPr>
          <w:sz w:val="22"/>
          <w:szCs w:val="22"/>
        </w:rPr>
        <w:t xml:space="preserve">Rare balance of kindness and assertiveness — pushes without punishing</w:t>
      </w:r>
    </w:p>
    <w:p>
      <w:pPr>
        <w:pStyle w:val="ListParagraph"/>
        <w:numPr>
          <w:ilvl w:val="0"/>
          <w:numId w:val="1"/>
        </w:numPr>
        <w:spacing w:after="80"/>
      </w:pPr>
      <w:r>
        <w:rPr>
          <w:sz w:val="22"/>
          <w:szCs w:val="22"/>
        </w:rPr>
        <w:t xml:space="preserve">Emotional intelligence: holds space AND knows when to move forward</w:t>
      </w:r>
    </w:p>
    <w:p>
      <w:pPr>
        <w:pStyle w:val="ListParagraph"/>
        <w:numPr>
          <w:ilvl w:val="0"/>
          <w:numId w:val="1"/>
        </w:numPr>
        <w:spacing w:after="80"/>
      </w:pPr>
      <w:r>
        <w:rPr>
          <w:sz w:val="22"/>
          <w:szCs w:val="22"/>
        </w:rPr>
        <w:t xml:space="preserve">Deep understanding of the entrepreneur/leader distinction — coaches to the actual reality, not a corporate template</w:t>
      </w:r>
    </w:p>
    <w:p>
      <w:pPr>
        <w:pStyle w:val="Heading2"/>
        <w:spacing w:after="120" w:before="280"/>
      </w:pPr>
      <w:r>
        <w:rPr>
          <w:b/>
          <w:bCs/>
          <w:color w:val="0D1F4E"/>
          <w:sz w:val="26"/>
          <w:szCs w:val="26"/>
        </w:rPr>
        <w:t xml:space="preserve">Anne Laguzza</w:t>
      </w:r>
    </w:p>
    <w:p>
      <w:pPr>
        <w:spacing w:after="160"/>
      </w:pPr>
      <w:r>
        <w:rPr>
          <w:i/>
          <w:iCs/>
          <w:sz w:val="22"/>
          <w:szCs w:val="22"/>
        </w:rPr>
        <w:t xml:space="preserve">The Works Consulting</w:t>
      </w:r>
    </w:p>
    <w:p>
      <w:pPr>
        <w:spacing w:after="80" w:before="200"/>
      </w:pPr>
      <w:r>
        <w:rPr>
          <w:b/>
          <w:bCs/>
          <w:i/>
          <w:iCs/>
          <w:sz w:val="22"/>
          <w:szCs w:val="22"/>
        </w:rPr>
        <w:t xml:space="preserve">Why She Hired Synnovatia</w:t>
      </w:r>
    </w:p>
    <w:p>
      <w:pPr>
        <w:spacing w:after="160"/>
      </w:pPr>
      <w:r>
        <w:rPr>
          <w:sz w:val="22"/>
          <w:szCs w:val="22"/>
        </w:rPr>
        <w:t xml:space="preserve">Anne came to Jackie at a point of unsustainable effort — working very hard, logging long hours, and focused on total financial outcome without paying close attention to hourly rate. The math, once surfaced, was clarifying: if she had known to adjust her rate, she could have worked less and earned more. Jackie didn’t just diagnose the problem; she made the solution feel achievable.</w:t>
      </w:r>
    </w:p>
    <w:p>
      <w:pPr>
        <w:spacing w:after="160"/>
      </w:pPr>
      <w:r>
        <w:rPr>
          <w:sz w:val="22"/>
          <w:szCs w:val="22"/>
        </w:rPr>
        <w:t xml:space="preserve">What made Anne decide to hire Jackie came down to three things that showed up in their initial interaction: Jackie came across as ethical, knowledgeable, and genuinely interested in understanding and solving the problem — not in selling a solution. That interest in figuring out what the issue actually was, rather than arriving with a predetermined answer, signaled something different from what Anne had encountered elsewhere.</w:t>
      </w:r>
    </w:p>
    <w:p>
      <w:pPr>
        <w:spacing w:after="80" w:before="200"/>
      </w:pPr>
      <w:r>
        <w:rPr>
          <w:b/>
          <w:bCs/>
          <w:i/>
          <w:iCs/>
          <w:sz w:val="22"/>
          <w:szCs w:val="22"/>
        </w:rPr>
        <w:t xml:space="preserve">The Value Jackie Delivers</w:t>
      </w:r>
    </w:p>
    <w:p>
      <w:pPr>
        <w:spacing w:after="160"/>
      </w:pPr>
      <w:r>
        <w:rPr>
          <w:sz w:val="22"/>
          <w:szCs w:val="22"/>
        </w:rPr>
        <w:t xml:space="preserve">Jackie gave Anne the clarity she didn’t have — and paired it with the conviction that the adjustments were achievable. The work wasn’t aspirational; it was concrete. Build more of what you want. Do different things and be in a better position while working less. Goals weren’t just set — they were made attainable through specific, practical changes.</w:t>
      </w:r>
    </w:p>
    <w:p>
      <w:pPr>
        <w:spacing w:after="80" w:before="200"/>
      </w:pPr>
      <w:r>
        <w:rPr>
          <w:b/>
          <w:bCs/>
          <w:i/>
          <w:iCs/>
          <w:sz w:val="22"/>
          <w:szCs w:val="22"/>
        </w:rPr>
        <w:t xml:space="preserve">Why She Continues to Hire Synnovatia</w:t>
      </w:r>
    </w:p>
    <w:p>
      <w:pPr>
        <w:spacing w:after="160"/>
      </w:pPr>
      <w:r>
        <w:rPr>
          <w:sz w:val="22"/>
          <w:szCs w:val="22"/>
        </w:rPr>
        <w:t xml:space="preserve">Anne’s reasons for staying run deeper than any single strategy. She articulated something that speaks to a growing distrust in the broader coaching and consulting market: in a world where there seem to be so many grifts, Jackie is genuine. That’s not a small thing. Authenticity has become a differentiator by default in an industry crowded with performative expertise.</w:t>
      </w:r>
    </w:p>
    <w:p>
      <w:pPr>
        <w:spacing w:after="160"/>
      </w:pPr>
      <w:r>
        <w:rPr>
          <w:sz w:val="22"/>
          <w:szCs w:val="22"/>
        </w:rPr>
        <w:t xml:space="preserve">Jackie is also relevant — and crucially, she doesn’t chase fads. She does a lot of research, stays current, and is willing to innovate, change, and iterate as times change. Anne noted that Jackie’s own willingness to look at what’s working in her business — and start or stop accordingly — is itself an inspiring example. Jackie models the behavior she coaches.</w:t>
      </w:r>
    </w:p>
    <w:p>
      <w:pPr>
        <w:spacing w:after="160"/>
      </w:pPr>
      <w:r>
        <w:rPr>
          <w:sz w:val="22"/>
          <w:szCs w:val="22"/>
        </w:rPr>
        <w:t xml:space="preserve">Anne was also specific about what draws her to the group experience: she’s actively looking for people she can relate to — people with similar struggles and challenges as a single woman navigating business ownership. Jackie curates that. She brings together people with different perspectives and matches them intentionally. The quality of the people in the room matters, and Anne credits Jackie with getting that right.</w:t>
      </w:r>
    </w:p>
    <w:p>
      <w:pPr>
        <w:spacing w:after="80" w:before="200"/>
      </w:pPr>
      <w:r>
        <w:rPr>
          <w:b/>
          <w:bCs/>
          <w:sz w:val="22"/>
          <w:szCs w:val="22"/>
        </w:rPr>
        <w:t xml:space="preserve">Key Themes</w:t>
      </w:r>
    </w:p>
    <w:p>
      <w:pPr>
        <w:pStyle w:val="ListParagraph"/>
        <w:numPr>
          <w:ilvl w:val="0"/>
          <w:numId w:val="1"/>
        </w:numPr>
        <w:spacing w:after="80"/>
      </w:pPr>
      <w:r>
        <w:rPr>
          <w:sz w:val="22"/>
          <w:szCs w:val="22"/>
        </w:rPr>
        <w:t xml:space="preserve">Ethical, knowledgeable, and genuinely interested in the problem — not the sale</w:t>
      </w:r>
    </w:p>
    <w:p>
      <w:pPr>
        <w:pStyle w:val="ListParagraph"/>
        <w:numPr>
          <w:ilvl w:val="0"/>
          <w:numId w:val="1"/>
        </w:numPr>
        <w:spacing w:after="80"/>
      </w:pPr>
      <w:r>
        <w:rPr>
          <w:sz w:val="22"/>
          <w:szCs w:val="22"/>
        </w:rPr>
        <w:t xml:space="preserve">Clarity + achievability: made a daunting adjustment feel concrete and attainable</w:t>
      </w:r>
    </w:p>
    <w:p>
      <w:pPr>
        <w:pStyle w:val="ListParagraph"/>
        <w:numPr>
          <w:ilvl w:val="0"/>
          <w:numId w:val="1"/>
        </w:numPr>
        <w:spacing w:after="80"/>
      </w:pPr>
      <w:r>
        <w:rPr>
          <w:sz w:val="22"/>
          <w:szCs w:val="22"/>
        </w:rPr>
        <w:t xml:space="preserve">Genuine in a market full of grifts — authenticity as a trust differentiator</w:t>
      </w:r>
    </w:p>
    <w:p>
      <w:pPr>
        <w:pStyle w:val="ListParagraph"/>
        <w:numPr>
          <w:ilvl w:val="0"/>
          <w:numId w:val="1"/>
        </w:numPr>
        <w:spacing w:after="80"/>
      </w:pPr>
      <w:r>
        <w:rPr>
          <w:sz w:val="22"/>
          <w:szCs w:val="22"/>
        </w:rPr>
        <w:t xml:space="preserve">Relevant and fad-free — researches deeply, doesn’t chase trends</w:t>
      </w:r>
    </w:p>
    <w:p>
      <w:pPr>
        <w:pStyle w:val="ListParagraph"/>
        <w:numPr>
          <w:ilvl w:val="0"/>
          <w:numId w:val="1"/>
        </w:numPr>
        <w:spacing w:after="80"/>
      </w:pPr>
      <w:r>
        <w:rPr>
          <w:sz w:val="22"/>
          <w:szCs w:val="22"/>
        </w:rPr>
        <w:t xml:space="preserve">Models what she coaches: iterates on her own business, starts and stops what’s working/not working</w:t>
      </w:r>
    </w:p>
    <w:p>
      <w:pPr>
        <w:pStyle w:val="ListParagraph"/>
        <w:numPr>
          <w:ilvl w:val="0"/>
          <w:numId w:val="1"/>
        </w:numPr>
        <w:spacing w:after="80"/>
      </w:pPr>
      <w:r>
        <w:rPr>
          <w:sz w:val="22"/>
          <w:szCs w:val="22"/>
        </w:rPr>
        <w:t xml:space="preserve">Curates quality people in the group experience — peer relatability matters</w:t>
      </w:r>
    </w:p>
    <w:p>
      <w:pPr>
        <w:pStyle w:val="Heading2"/>
        <w:spacing w:after="120" w:before="280"/>
      </w:pPr>
      <w:r>
        <w:rPr>
          <w:b/>
          <w:bCs/>
          <w:color w:val="0D1F4E"/>
          <w:sz w:val="26"/>
          <w:szCs w:val="26"/>
        </w:rPr>
        <w:t xml:space="preserve">Raffi Saroyan</w:t>
      </w:r>
    </w:p>
    <w:p>
      <w:pPr>
        <w:spacing w:after="160"/>
      </w:pPr>
      <w:r>
        <w:rPr>
          <w:i/>
          <w:iCs/>
          <w:sz w:val="22"/>
          <w:szCs w:val="22"/>
        </w:rPr>
        <w:t xml:space="preserve">Solopreneur  |  Long-term client</w:t>
      </w:r>
    </w:p>
    <w:p>
      <w:pPr>
        <w:spacing w:after="80" w:before="200"/>
      </w:pPr>
      <w:r>
        <w:rPr>
          <w:b/>
          <w:bCs/>
          <w:i/>
          <w:iCs/>
          <w:sz w:val="22"/>
          <w:szCs w:val="22"/>
        </w:rPr>
        <w:t xml:space="preserve">The 30,000-Foot View</w:t>
      </w:r>
    </w:p>
    <w:p>
      <w:pPr>
        <w:spacing w:after="160"/>
      </w:pPr>
      <w:r>
        <w:rPr>
          <w:sz w:val="22"/>
          <w:szCs w:val="22"/>
        </w:rPr>
        <w:t xml:space="preserve">Raffi’s most consistent descriptor for what Jackie delivers: altitude. When you’re deep in your own business — fighting fires, managing details, reacting — it’s nearly impossible to see the full landscape. Jackie provides the elevated perspective that allows a solopreneur to understand what’s actually happening strategically, not just operationally.</w:t>
      </w:r>
    </w:p>
    <w:p>
      <w:pPr>
        <w:spacing w:after="80" w:before="200"/>
      </w:pPr>
      <w:r>
        <w:rPr>
          <w:b/>
          <w:bCs/>
          <w:i/>
          <w:iCs/>
          <w:sz w:val="22"/>
          <w:szCs w:val="22"/>
        </w:rPr>
        <w:t xml:space="preserve">Articulating What You Already Know</w:t>
      </w:r>
    </w:p>
    <w:p>
      <w:pPr>
        <w:spacing w:after="160"/>
      </w:pPr>
      <w:r>
        <w:rPr>
          <w:sz w:val="22"/>
          <w:szCs w:val="22"/>
        </w:rPr>
        <w:t xml:space="preserve">One of Raffi’s most striking observations: Jackie has a rare ability to take what a client knows in their gut — the intuitive sense that something is right or wrong, the feeling that a direction makes or doesn’t make sense — and put precise language to it. This isn’t just useful for clarity; it’s transformative. Clients leave sessions not just with new insight, but with the words to act on what they already knew.</w:t>
      </w:r>
    </w:p>
    <w:p>
      <w:pPr>
        <w:spacing w:after="80" w:before="200"/>
      </w:pPr>
      <w:r>
        <w:rPr>
          <w:b/>
          <w:bCs/>
          <w:i/>
          <w:iCs/>
          <w:sz w:val="22"/>
          <w:szCs w:val="22"/>
        </w:rPr>
        <w:t xml:space="preserve">Effort Where Others Pass</w:t>
      </w:r>
    </w:p>
    <w:p>
      <w:pPr>
        <w:spacing w:after="160"/>
      </w:pPr>
      <w:r>
        <w:rPr>
          <w:sz w:val="22"/>
          <w:szCs w:val="22"/>
        </w:rPr>
        <w:t xml:space="preserve">Raffi noted that Jackie doesn’t take the easy path. She does the hard work — the work that requires sustained effort, deep engagement, and a willingness to go where other advisors stop. In a market full of coaches who deliver frameworks and step away, Jackie leans in.</w:t>
      </w:r>
    </w:p>
    <w:p>
      <w:pPr>
        <w:spacing w:after="80" w:before="200"/>
      </w:pPr>
      <w:r>
        <w:rPr>
          <w:b/>
          <w:bCs/>
          <w:i/>
          <w:iCs/>
          <w:sz w:val="22"/>
          <w:szCs w:val="22"/>
        </w:rPr>
        <w:t xml:space="preserve">The Scarcity of What She Does</w:t>
      </w:r>
    </w:p>
    <w:p>
      <w:pPr>
        <w:spacing w:after="160"/>
      </w:pPr>
      <w:r>
        <w:rPr>
          <w:sz w:val="22"/>
          <w:szCs w:val="22"/>
        </w:rPr>
        <w:t xml:space="preserve">Perhaps Raffi’s most pointed observation: there is no one else doing what Jackie does, at this level, for solopreneurs. The advisory space for solo business owners is thin — most resources are built for teams, for funded startups, for executives with leverage. Jackie fills a gap that is both real and largely unoccupied.</w:t>
      </w:r>
    </w:p>
    <w:p>
      <w:pPr>
        <w:spacing w:after="80" w:before="200"/>
      </w:pPr>
      <w:r>
        <w:rPr>
          <w:b/>
          <w:bCs/>
          <w:sz w:val="22"/>
          <w:szCs w:val="22"/>
        </w:rPr>
        <w:t xml:space="preserve">Key Themes</w:t>
      </w:r>
    </w:p>
    <w:p>
      <w:pPr>
        <w:pStyle w:val="ListParagraph"/>
        <w:numPr>
          <w:ilvl w:val="0"/>
          <w:numId w:val="1"/>
        </w:numPr>
        <w:spacing w:after="80"/>
      </w:pPr>
      <w:r>
        <w:rPr>
          <w:sz w:val="22"/>
          <w:szCs w:val="22"/>
        </w:rPr>
        <w:t xml:space="preserve">30,000-ft view — strategic altitude as a deliverable</w:t>
      </w:r>
    </w:p>
    <w:p>
      <w:pPr>
        <w:pStyle w:val="ListParagraph"/>
        <w:numPr>
          <w:ilvl w:val="0"/>
          <w:numId w:val="1"/>
        </w:numPr>
        <w:spacing w:after="80"/>
      </w:pPr>
      <w:r>
        <w:rPr>
          <w:sz w:val="22"/>
          <w:szCs w:val="22"/>
        </w:rPr>
        <w:t xml:space="preserve">Articulating gut-level knowing — translating intuition into actionable language</w:t>
      </w:r>
    </w:p>
    <w:p>
      <w:pPr>
        <w:pStyle w:val="ListParagraph"/>
        <w:numPr>
          <w:ilvl w:val="0"/>
          <w:numId w:val="1"/>
        </w:numPr>
        <w:spacing w:after="80"/>
      </w:pPr>
      <w:r>
        <w:rPr>
          <w:sz w:val="22"/>
          <w:szCs w:val="22"/>
        </w:rPr>
        <w:t xml:space="preserve">Effort where others pass — above-and-beyond engagement</w:t>
      </w:r>
    </w:p>
    <w:p>
      <w:pPr>
        <w:pStyle w:val="ListParagraph"/>
        <w:numPr>
          <w:ilvl w:val="0"/>
          <w:numId w:val="1"/>
        </w:numPr>
        <w:spacing w:after="80"/>
      </w:pPr>
      <w:r>
        <w:rPr>
          <w:sz w:val="22"/>
          <w:szCs w:val="22"/>
        </w:rPr>
        <w:t xml:space="preserve">Solopreneur advisory scarcity — occupying a largely empty market category</w:t>
      </w:r>
    </w:p>
    <w:p>
      <w:pPr>
        <w:pStyle w:val="Heading2"/>
        <w:spacing w:after="120" w:before="280"/>
      </w:pPr>
      <w:r>
        <w:rPr>
          <w:b/>
          <w:bCs/>
          <w:color w:val="0D1F4E"/>
          <w:sz w:val="26"/>
          <w:szCs w:val="26"/>
        </w:rPr>
        <w:t xml:space="preserve">Craig Ullom</w:t>
      </w:r>
    </w:p>
    <w:p>
      <w:pPr>
        <w:spacing w:after="160"/>
      </w:pPr>
      <w:r>
        <w:rPr>
          <w:i/>
          <w:iCs/>
          <w:sz w:val="22"/>
          <w:szCs w:val="22"/>
        </w:rPr>
        <w:t xml:space="preserve">External Marketing Observer  |  Not a Current Client</w:t>
      </w:r>
    </w:p>
    <w:p>
      <w:pPr>
        <w:spacing w:after="160"/>
      </w:pPr>
      <w:r>
        <w:rPr>
          <w:sz w:val="22"/>
          <w:szCs w:val="22"/>
        </w:rPr>
        <w:t xml:space="preserve">Note: Craig’s perspective is that of an outside marketing observer, not a coaching client. His input is formatted distinctly from client interviews. His observations validate the core positioning thesis from an external vantage point.</w:t>
      </w:r>
    </w:p>
    <w:p>
      <w:pPr>
        <w:spacing w:after="80" w:before="200"/>
      </w:pPr>
      <w:r>
        <w:rPr>
          <w:b/>
          <w:bCs/>
          <w:i/>
          <w:iCs/>
          <w:sz w:val="22"/>
          <w:szCs w:val="22"/>
        </w:rPr>
        <w:t xml:space="preserve">Different is Better Than Better</w:t>
      </w:r>
    </w:p>
    <w:p>
      <w:pPr>
        <w:spacing w:after="160"/>
      </w:pPr>
      <w:r>
        <w:rPr>
          <w:sz w:val="22"/>
          <w:szCs w:val="22"/>
        </w:rPr>
        <w:t xml:space="preserve">Craig’s central observation — the one that names the entire positioning initiative — is this: in a market where most competitors try to outdo each other along the same dimensions, distinctiveness is a more powerful strategy than superiority. “Different is better than better” isn’t just a tagline; it’s a competitive philosophy. Synnovatia doesn’t need to be the best business coaching firm in a crowded category. It needs to be the one that occupies a category of its own.</w:t>
      </w:r>
    </w:p>
    <w:p>
      <w:pPr>
        <w:spacing w:after="80" w:before="200"/>
      </w:pPr>
      <w:r>
        <w:rPr>
          <w:b/>
          <w:bCs/>
          <w:i/>
          <w:iCs/>
          <w:sz w:val="22"/>
          <w:szCs w:val="22"/>
        </w:rPr>
        <w:t xml:space="preserve">Lead with the Customer’s Problem</w:t>
      </w:r>
    </w:p>
    <w:p>
      <w:pPr>
        <w:spacing w:after="160"/>
      </w:pPr>
      <w:r>
        <w:rPr>
          <w:sz w:val="22"/>
          <w:szCs w:val="22"/>
        </w:rPr>
        <w:t xml:space="preserve">Craig’s messaging principle: don’t open with your solution. Open with the customer’s problem — specifically, the frustration, the stuckness, the gap they’re trying to close. Buyers don’t start by looking for coaches; they start by feeling stuck. The message that meets them where they are will always outperform the message that leads with credentials or methodology.</w:t>
      </w:r>
    </w:p>
    <w:p>
      <w:pPr>
        <w:spacing w:after="80" w:before="200"/>
      </w:pPr>
      <w:r>
        <w:rPr>
          <w:b/>
          <w:bCs/>
          <w:i/>
          <w:iCs/>
          <w:sz w:val="22"/>
          <w:szCs w:val="22"/>
        </w:rPr>
        <w:t xml:space="preserve">Video as a Trust Accelerator</w:t>
      </w:r>
    </w:p>
    <w:p>
      <w:pPr>
        <w:spacing w:after="160"/>
      </w:pPr>
      <w:r>
        <w:rPr>
          <w:sz w:val="22"/>
          <w:szCs w:val="22"/>
        </w:rPr>
        <w:t xml:space="preserve">Craig flagged video as the fastest trust-building medium available to a service business. In the absence of a referral, a prospect who has watched Jackie on video — genuinely, not produced — arrives to a discovery call already partially sold. The authenticity gap between polished marketing copy and a real person on camera is where trust gets built.</w:t>
      </w:r>
    </w:p>
    <w:p>
      <w:pPr>
        <w:spacing w:after="80" w:before="200"/>
      </w:pPr>
      <w:r>
        <w:rPr>
          <w:b/>
          <w:bCs/>
          <w:i/>
          <w:iCs/>
          <w:sz w:val="22"/>
          <w:szCs w:val="22"/>
        </w:rPr>
        <w:t xml:space="preserve">Buyer Decision-Style Targeting</w:t>
      </w:r>
    </w:p>
    <w:p>
      <w:pPr>
        <w:spacing w:after="160"/>
      </w:pPr>
      <w:r>
        <w:rPr>
          <w:sz w:val="22"/>
          <w:szCs w:val="22"/>
        </w:rPr>
        <w:t xml:space="preserve">Craig raised the importance of understanding how different buyers make decisions — and crafting messaging that speaks to each style. Some buyers are moved by logic and ROI. Others respond to story and identity. Others need social proof. A positioning strategy that accounts for buyer decision style is more effective than one that assumes a single message will resonate universally.</w:t>
      </w:r>
    </w:p>
    <w:p>
      <w:pPr>
        <w:spacing w:after="80" w:before="200"/>
      </w:pPr>
      <w:r>
        <w:rPr>
          <w:b/>
          <w:bCs/>
          <w:sz w:val="22"/>
          <w:szCs w:val="22"/>
        </w:rPr>
        <w:t xml:space="preserve">Key Themes</w:t>
      </w:r>
    </w:p>
    <w:p>
      <w:pPr>
        <w:pStyle w:val="ListParagraph"/>
        <w:numPr>
          <w:ilvl w:val="0"/>
          <w:numId w:val="1"/>
        </w:numPr>
        <w:spacing w:after="80"/>
      </w:pPr>
      <w:r>
        <w:rPr>
          <w:sz w:val="22"/>
          <w:szCs w:val="22"/>
        </w:rPr>
        <w:t xml:space="preserve">Distinctiveness over imitation — different as a strategic moat</w:t>
      </w:r>
    </w:p>
    <w:p>
      <w:pPr>
        <w:pStyle w:val="ListParagraph"/>
        <w:numPr>
          <w:ilvl w:val="0"/>
          <w:numId w:val="1"/>
        </w:numPr>
        <w:spacing w:after="80"/>
      </w:pPr>
      <w:r>
        <w:rPr>
          <w:sz w:val="22"/>
          <w:szCs w:val="22"/>
        </w:rPr>
        <w:t xml:space="preserve">Lead with the customer’s problem, not Synnovatia’s solution</w:t>
      </w:r>
    </w:p>
    <w:p>
      <w:pPr>
        <w:pStyle w:val="ListParagraph"/>
        <w:numPr>
          <w:ilvl w:val="0"/>
          <w:numId w:val="1"/>
        </w:numPr>
        <w:spacing w:after="80"/>
      </w:pPr>
      <w:r>
        <w:rPr>
          <w:sz w:val="22"/>
          <w:szCs w:val="22"/>
        </w:rPr>
        <w:t xml:space="preserve">Video as a trust accelerator — authenticity closes the gap</w:t>
      </w:r>
    </w:p>
    <w:p>
      <w:pPr>
        <w:pStyle w:val="ListParagraph"/>
        <w:numPr>
          <w:ilvl w:val="0"/>
          <w:numId w:val="1"/>
        </w:numPr>
        <w:spacing w:after="80"/>
      </w:pPr>
      <w:r>
        <w:rPr>
          <w:sz w:val="22"/>
          <w:szCs w:val="22"/>
        </w:rPr>
        <w:t xml:space="preserve">Buyer decision-style targeting — meet the buyer where they decide</w:t>
      </w:r>
    </w:p>
    <w:p>
      <w:pPr>
        <w:pStyle w:val="Heading2"/>
        <w:spacing w:after="120" w:before="280"/>
      </w:pPr>
      <w:r>
        <w:rPr>
          <w:b/>
          <w:bCs/>
          <w:color w:val="0D1F4E"/>
          <w:sz w:val="26"/>
          <w:szCs w:val="26"/>
        </w:rPr>
        <w:t xml:space="preserve">Sandra Martinez &amp; Hilary Beck</w:t>
      </w:r>
    </w:p>
    <w:p>
      <w:pPr>
        <w:spacing w:after="160"/>
      </w:pPr>
      <w:r>
        <w:rPr>
          <w:i/>
          <w:iCs/>
          <w:sz w:val="22"/>
          <w:szCs w:val="22"/>
        </w:rPr>
        <w:t xml:space="preserve">InPlay Showroom / Hello Earth Club  |  Client since 2011</w:t>
      </w:r>
    </w:p>
    <w:p>
      <w:pPr>
        <w:spacing w:after="80" w:before="200"/>
      </w:pPr>
      <w:r>
        <w:rPr>
          <w:b/>
          <w:bCs/>
          <w:i/>
          <w:iCs/>
          <w:sz w:val="22"/>
          <w:szCs w:val="22"/>
        </w:rPr>
        <w:t xml:space="preserve">Therapist to Entrepreneurs</w:t>
      </w:r>
    </w:p>
    <w:p>
      <w:pPr>
        <w:spacing w:after="160"/>
      </w:pPr>
      <w:r>
        <w:rPr>
          <w:sz w:val="22"/>
          <w:szCs w:val="22"/>
        </w:rPr>
        <w:t xml:space="preserve">Sandra’s most vivid characterization of Jackie: she’s like a therapist for entrepreneurs. Not in the clinical sense — but in the sense that Jackie creates a space where business owners can say what they actually think, feel what they actually feel, and work through what’s actually blocking them. That quality of psychological safety, in a professional context, is rare.</w:t>
      </w:r>
    </w:p>
    <w:p>
      <w:pPr>
        <w:spacing w:after="80" w:before="200"/>
      </w:pPr>
      <w:r>
        <w:rPr>
          <w:b/>
          <w:bCs/>
          <w:i/>
          <w:iCs/>
          <w:sz w:val="22"/>
          <w:szCs w:val="22"/>
        </w:rPr>
        <w:t xml:space="preserve">Jiggling the Key</w:t>
      </w:r>
    </w:p>
    <w:p>
      <w:pPr>
        <w:spacing w:after="160"/>
      </w:pPr>
      <w:r>
        <w:rPr>
          <w:sz w:val="22"/>
          <w:szCs w:val="22"/>
        </w:rPr>
        <w:t xml:space="preserve">Sandra’s signature phrase for Jackie’s problem-solving style: she’s always jiggling the key. When a door won’t open — when an approach isn’t working, when a client is stuck — Jackie doesn’t give up or suggest a different door. She keeps working the same lock, trying angles, testing approaches, until something gives. That persistence is what Sandra points to as fundamentally different from other advisors she’s experienced.</w:t>
      </w:r>
    </w:p>
    <w:p>
      <w:pPr>
        <w:spacing w:after="80" w:before="200"/>
      </w:pPr>
      <w:r>
        <w:rPr>
          <w:b/>
          <w:bCs/>
          <w:i/>
          <w:iCs/>
          <w:sz w:val="22"/>
          <w:szCs w:val="22"/>
        </w:rPr>
        <w:t xml:space="preserve">The Long-Arc Relationship</w:t>
      </w:r>
    </w:p>
    <w:p>
      <w:pPr>
        <w:spacing w:after="160"/>
      </w:pPr>
      <w:r>
        <w:rPr>
          <w:sz w:val="22"/>
          <w:szCs w:val="22"/>
        </w:rPr>
        <w:t xml:space="preserve">Sandra and Hilary have worked with Jackie since 2011 — a relationship that has spanned multiple business iterations and reinventions. That longevity is itself a data point. Clients who stay for over a decade aren’t renewing a contract; they’re continuing a relationship that proves its value repeatedly over time.</w:t>
      </w:r>
    </w:p>
    <w:p>
      <w:pPr>
        <w:spacing w:after="80" w:before="200"/>
      </w:pPr>
      <w:r>
        <w:rPr>
          <w:b/>
          <w:bCs/>
          <w:i/>
          <w:iCs/>
          <w:sz w:val="22"/>
          <w:szCs w:val="22"/>
        </w:rPr>
        <w:t xml:space="preserve">Experience Reveals the Difference</w:t>
      </w:r>
    </w:p>
    <w:p>
      <w:pPr>
        <w:spacing w:after="160"/>
      </w:pPr>
      <w:r>
        <w:rPr>
          <w:sz w:val="22"/>
          <w:szCs w:val="22"/>
        </w:rPr>
        <w:t xml:space="preserve">Sandra noted that Jackie’s differentiation is difficult to communicate in advance — it’s something you feel once you’re inside the work. The experience itself is the proof. This has implications for how Synnovatia acquires new clients: the discovery call and early sessions may need to be designed as deliberate proof-of-concept experiences, not just intake conversations.</w:t>
      </w:r>
    </w:p>
    <w:p>
      <w:pPr>
        <w:spacing w:after="80" w:before="200"/>
      </w:pPr>
      <w:r>
        <w:rPr>
          <w:b/>
          <w:bCs/>
          <w:sz w:val="22"/>
          <w:szCs w:val="22"/>
        </w:rPr>
        <w:t xml:space="preserve">Key Themes</w:t>
      </w:r>
    </w:p>
    <w:p>
      <w:pPr>
        <w:pStyle w:val="ListParagraph"/>
        <w:numPr>
          <w:ilvl w:val="0"/>
          <w:numId w:val="1"/>
        </w:numPr>
        <w:spacing w:after="80"/>
      </w:pPr>
      <w:r>
        <w:rPr>
          <w:sz w:val="22"/>
          <w:szCs w:val="22"/>
        </w:rPr>
        <w:t xml:space="preserve">Therapist to entrepreneurs — psychological safety as a strategic asset</w:t>
      </w:r>
    </w:p>
    <w:p>
      <w:pPr>
        <w:pStyle w:val="ListParagraph"/>
        <w:numPr>
          <w:ilvl w:val="0"/>
          <w:numId w:val="1"/>
        </w:numPr>
        <w:spacing w:after="80"/>
      </w:pPr>
      <w:r>
        <w:rPr>
          <w:sz w:val="22"/>
          <w:szCs w:val="22"/>
        </w:rPr>
        <w:t xml:space="preserve">Jiggling the key — persistence and creativity in problem-solving</w:t>
      </w:r>
    </w:p>
    <w:p>
      <w:pPr>
        <w:pStyle w:val="ListParagraph"/>
        <w:numPr>
          <w:ilvl w:val="0"/>
          <w:numId w:val="1"/>
        </w:numPr>
        <w:spacing w:after="80"/>
      </w:pPr>
      <w:r>
        <w:rPr>
          <w:sz w:val="22"/>
          <w:szCs w:val="22"/>
        </w:rPr>
        <w:t xml:space="preserve">Long-arc relationship as proof of repeated value</w:t>
      </w:r>
    </w:p>
    <w:p>
      <w:pPr>
        <w:pStyle w:val="ListParagraph"/>
        <w:numPr>
          <w:ilvl w:val="0"/>
          <w:numId w:val="1"/>
        </w:numPr>
        <w:spacing w:after="80"/>
      </w:pPr>
      <w:r>
        <w:rPr>
          <w:sz w:val="22"/>
          <w:szCs w:val="22"/>
        </w:rPr>
        <w:t xml:space="preserve">Experience reveals the difference — proof is felt, not described</w:t>
      </w:r>
    </w:p>
    <w:p>
      <w:pPr>
        <w:pStyle w:val="Heading2"/>
        <w:spacing w:after="120" w:before="280"/>
      </w:pPr>
      <w:r>
        <w:rPr>
          <w:b/>
          <w:bCs/>
          <w:color w:val="0D1F4E"/>
          <w:sz w:val="26"/>
          <w:szCs w:val="26"/>
        </w:rPr>
        <w:t xml:space="preserve">Laura Labovich</w:t>
      </w:r>
    </w:p>
    <w:p>
      <w:pPr>
        <w:spacing w:after="160"/>
      </w:pPr>
      <w:r>
        <w:rPr>
          <w:i/>
          <w:iCs/>
          <w:sz w:val="22"/>
          <w:szCs w:val="22"/>
        </w:rPr>
        <w:t xml:space="preserve">The Career Strategy Group  |  Client since 2000</w:t>
      </w:r>
    </w:p>
    <w:p>
      <w:pPr>
        <w:spacing w:after="80" w:before="200"/>
      </w:pPr>
      <w:r>
        <w:rPr>
          <w:b/>
          <w:bCs/>
          <w:i/>
          <w:iCs/>
          <w:sz w:val="22"/>
          <w:szCs w:val="22"/>
        </w:rPr>
        <w:t xml:space="preserve">Warmth as a Strategic Differentiator</w:t>
      </w:r>
    </w:p>
    <w:p>
      <w:pPr>
        <w:spacing w:after="160"/>
      </w:pPr>
      <w:r>
        <w:rPr>
          <w:sz w:val="22"/>
          <w:szCs w:val="22"/>
        </w:rPr>
        <w:t xml:space="preserve">Laura’s most consistent theme: Jackie’s warmth is not incidental to the work — it’s load-bearing. Other advisors may have expertise. Other coaches may have frameworks. But warmth at Jackie’s level — the kind that makes a client feel genuinely cared for, not just serviced — is a differentiator that most competitors can’t manufacture or replicate.</w:t>
      </w:r>
    </w:p>
    <w:p>
      <w:pPr>
        <w:spacing w:after="80" w:before="200"/>
      </w:pPr>
      <w:r>
        <w:rPr>
          <w:b/>
          <w:bCs/>
          <w:i/>
          <w:iCs/>
          <w:sz w:val="22"/>
          <w:szCs w:val="22"/>
        </w:rPr>
        <w:t xml:space="preserve">Presence and Listening</w:t>
      </w:r>
    </w:p>
    <w:p>
      <w:pPr>
        <w:spacing w:after="160"/>
      </w:pPr>
      <w:r>
        <w:rPr>
          <w:sz w:val="22"/>
          <w:szCs w:val="22"/>
        </w:rPr>
        <w:t xml:space="preserve">Laura described Jackie’s listening as active in a way that’s palpably different from most professional conversations. Jackie doesn’t just wait to speak — she receives. Clients feel heard at a level that changes how they engage with the work. This quality surfaced independently across multiple interviews, which elevates it from a personal observation to a structural differentiator.</w:t>
      </w:r>
    </w:p>
    <w:p>
      <w:pPr>
        <w:spacing w:after="80" w:before="200"/>
      </w:pPr>
      <w:r>
        <w:rPr>
          <w:b/>
          <w:bCs/>
          <w:i/>
          <w:iCs/>
          <w:sz w:val="22"/>
          <w:szCs w:val="22"/>
        </w:rPr>
        <w:t xml:space="preserve">The Way She Makes You Feel</w:t>
      </w:r>
    </w:p>
    <w:p>
      <w:pPr>
        <w:spacing w:after="160"/>
      </w:pPr>
      <w:r>
        <w:rPr>
          <w:sz w:val="22"/>
          <w:szCs w:val="22"/>
        </w:rPr>
        <w:t xml:space="preserve">Laura’s five-word description of Jackie: compassionate, curious, insightful, thoughtful, kind. What’s notable is that this is the language of a person, not a practitioner. Clients aren’t describing a methodology — they’re describing a relationship. And they’re describing it in language that is both consistent and emotionally resonant.</w:t>
      </w:r>
    </w:p>
    <w:p>
      <w:pPr>
        <w:spacing w:after="160"/>
      </w:pPr>
      <w:r>
        <w:rPr>
          <w:i/>
          <w:iCs/>
          <w:sz w:val="22"/>
          <w:szCs w:val="22"/>
        </w:rPr>
        <w:t xml:space="preserve">“You always leave a session feeling better than when you came in.” — Laura Labovich</w:t>
      </w:r>
    </w:p>
    <w:p>
      <w:pPr>
        <w:spacing w:after="80" w:before="200"/>
      </w:pPr>
      <w:r>
        <w:rPr>
          <w:b/>
          <w:bCs/>
          <w:i/>
          <w:iCs/>
          <w:sz w:val="22"/>
          <w:szCs w:val="22"/>
        </w:rPr>
        <w:t xml:space="preserve">The Group Experience as Proof</w:t>
      </w:r>
    </w:p>
    <w:p>
      <w:pPr>
        <w:spacing w:after="160"/>
      </w:pPr>
      <w:r>
        <w:rPr>
          <w:sz w:val="22"/>
          <w:szCs w:val="22"/>
        </w:rPr>
        <w:t xml:space="preserve">Laura pointed to the Mastermind group experience as a proof point for Jackie’s facilitation depth — the ability to hold space for multiple people with different needs, while making each person feel individually seen. That’s a high-wire act that validates Jackie’s listening and relational intelligence at scale.</w:t>
      </w:r>
    </w:p>
    <w:p>
      <w:pPr>
        <w:spacing w:after="80" w:before="200"/>
      </w:pPr>
      <w:r>
        <w:rPr>
          <w:b/>
          <w:bCs/>
          <w:sz w:val="22"/>
          <w:szCs w:val="22"/>
        </w:rPr>
        <w:t xml:space="preserve">Key Themes</w:t>
      </w:r>
    </w:p>
    <w:p>
      <w:pPr>
        <w:pStyle w:val="ListParagraph"/>
        <w:numPr>
          <w:ilvl w:val="0"/>
          <w:numId w:val="1"/>
        </w:numPr>
        <w:spacing w:after="80"/>
      </w:pPr>
      <w:r>
        <w:rPr>
          <w:sz w:val="22"/>
          <w:szCs w:val="22"/>
        </w:rPr>
        <w:t xml:space="preserve">Warmth as strategic differentiator — not soft, but structurally load-bearing</w:t>
      </w:r>
    </w:p>
    <w:p>
      <w:pPr>
        <w:pStyle w:val="ListParagraph"/>
        <w:numPr>
          <w:ilvl w:val="0"/>
          <w:numId w:val="1"/>
        </w:numPr>
        <w:spacing w:after="80"/>
      </w:pPr>
      <w:r>
        <w:rPr>
          <w:sz w:val="22"/>
          <w:szCs w:val="22"/>
        </w:rPr>
        <w:t xml:space="preserve">Presence and listening — clients feel heard at a level that changes the work</w:t>
      </w:r>
    </w:p>
    <w:p>
      <w:pPr>
        <w:pStyle w:val="ListParagraph"/>
        <w:numPr>
          <w:ilvl w:val="0"/>
          <w:numId w:val="1"/>
        </w:numPr>
        <w:spacing w:after="80"/>
      </w:pPr>
      <w:r>
        <w:rPr>
          <w:sz w:val="22"/>
          <w:szCs w:val="22"/>
        </w:rPr>
        <w:t xml:space="preserve">The way she makes you feel — five words: compassionate, curious, insightful, thoughtful, kind</w:t>
      </w:r>
    </w:p>
    <w:p>
      <w:pPr>
        <w:pStyle w:val="ListParagraph"/>
        <w:numPr>
          <w:ilvl w:val="0"/>
          <w:numId w:val="1"/>
        </w:numPr>
        <w:spacing w:after="80"/>
      </w:pPr>
      <w:r>
        <w:rPr>
          <w:sz w:val="22"/>
          <w:szCs w:val="22"/>
        </w:rPr>
        <w:t xml:space="preserve">Group experience as proof of relational intelligence at scale</w:t>
      </w:r>
    </w:p>
    <w:p>
      <w:pPr>
        <w:pStyle w:val="Heading2"/>
        <w:spacing w:after="120" w:before="280"/>
      </w:pPr>
      <w:r>
        <w:rPr>
          <w:b/>
          <w:bCs/>
          <w:color w:val="0D1F4E"/>
          <w:sz w:val="26"/>
          <w:szCs w:val="26"/>
        </w:rPr>
        <w:t xml:space="preserve">Naya Troup</w:t>
      </w:r>
    </w:p>
    <w:p>
      <w:pPr>
        <w:spacing w:after="160"/>
      </w:pPr>
      <w:r>
        <w:rPr>
          <w:i/>
          <w:iCs/>
          <w:sz w:val="22"/>
          <w:szCs w:val="22"/>
        </w:rPr>
        <w:t xml:space="preserve">First Legal  |  Recent client</w:t>
      </w:r>
    </w:p>
    <w:p>
      <w:pPr>
        <w:spacing w:after="80" w:before="200"/>
      </w:pPr>
      <w:r>
        <w:rPr>
          <w:b/>
          <w:bCs/>
          <w:i/>
          <w:iCs/>
          <w:sz w:val="22"/>
          <w:szCs w:val="22"/>
        </w:rPr>
        <w:t xml:space="preserve">Practical Collaboration Over Cheerleading</w:t>
      </w:r>
    </w:p>
    <w:p>
      <w:pPr>
        <w:spacing w:after="160"/>
      </w:pPr>
      <w:r>
        <w:rPr>
          <w:sz w:val="22"/>
          <w:szCs w:val="22"/>
        </w:rPr>
        <w:t xml:space="preserve">Naya’s most pointed contrast: Jackie is not a cheerleader. She doesn’t validate indiscriminately or pump clients up with motivational language. She rolls up her sleeves. She engages with the actual problem, works through it collaboratively, and delivers something practical — not just encouragement. For a results-oriented client like Naya, that distinction matters enormously.</w:t>
      </w:r>
    </w:p>
    <w:p>
      <w:pPr>
        <w:spacing w:after="80" w:before="200"/>
      </w:pPr>
      <w:r>
        <w:rPr>
          <w:b/>
          <w:bCs/>
          <w:i/>
          <w:iCs/>
          <w:sz w:val="22"/>
          <w:szCs w:val="22"/>
        </w:rPr>
        <w:t xml:space="preserve">Measurable Results</w:t>
      </w:r>
    </w:p>
    <w:p>
      <w:pPr>
        <w:spacing w:after="160"/>
      </w:pPr>
      <w:r>
        <w:rPr>
          <w:sz w:val="22"/>
          <w:szCs w:val="22"/>
        </w:rPr>
        <w:t xml:space="preserve">Naya can point to specific, concrete business outcomes that she attributes directly to working with Jackie. This isn’t vague client satisfaction — it’s traceable ROI. The ability to name outcomes is significant for positioning, because it shifts the conversation from intangible coaching value to demonstrable business impact.</w:t>
      </w:r>
    </w:p>
    <w:p>
      <w:pPr>
        <w:spacing w:after="80" w:before="200"/>
      </w:pPr>
      <w:r>
        <w:rPr>
          <w:b/>
          <w:bCs/>
          <w:i/>
          <w:iCs/>
          <w:sz w:val="22"/>
          <w:szCs w:val="22"/>
        </w:rPr>
        <w:t xml:space="preserve">Growing Business Confidence</w:t>
      </w:r>
    </w:p>
    <w:p>
      <w:pPr>
        <w:spacing w:after="160"/>
      </w:pPr>
      <w:r>
        <w:rPr>
          <w:sz w:val="22"/>
          <w:szCs w:val="22"/>
        </w:rPr>
        <w:t xml:space="preserve">Beyond the tactical outcomes, Naya described a more foundational shift: growing confidence in her own business judgment. Working with Jackie hasn’t just solved discrete problems — it’s built her capacity to navigate future problems independently. That’s a different kind of value, and it speaks to the depth of the coaching relationship.</w:t>
      </w:r>
    </w:p>
    <w:p>
      <w:pPr>
        <w:spacing w:after="80" w:before="200"/>
      </w:pPr>
      <w:r>
        <w:rPr>
          <w:b/>
          <w:bCs/>
          <w:i/>
          <w:iCs/>
          <w:sz w:val="22"/>
          <w:szCs w:val="22"/>
        </w:rPr>
        <w:t xml:space="preserve">Two Funnels of Knowledge</w:t>
      </w:r>
    </w:p>
    <w:p>
      <w:pPr>
        <w:spacing w:after="160"/>
      </w:pPr>
      <w:r>
        <w:rPr>
          <w:sz w:val="22"/>
          <w:szCs w:val="22"/>
        </w:rPr>
        <w:t xml:space="preserve">Naya’s metaphor for Jackie’s expertise: two funnels. One is broad — the accumulated knowledge of working across industries, stages, and business models that gives Jackie pattern recognition across domains. The other is deep — the specific industry awareness that makes Jackie’s advice feel tailored rather than generic. Most advisors have one. Jackie has both.</w:t>
      </w:r>
    </w:p>
    <w:p>
      <w:pPr>
        <w:spacing w:after="80" w:before="200"/>
      </w:pPr>
      <w:r>
        <w:rPr>
          <w:b/>
          <w:bCs/>
          <w:i/>
          <w:iCs/>
          <w:sz w:val="22"/>
          <w:szCs w:val="22"/>
        </w:rPr>
        <w:t xml:space="preserve">Structural Clarity Through Key Result Areas</w:t>
      </w:r>
    </w:p>
    <w:p>
      <w:pPr>
        <w:spacing w:after="160"/>
      </w:pPr>
      <w:r>
        <w:rPr>
          <w:sz w:val="22"/>
          <w:szCs w:val="22"/>
        </w:rPr>
        <w:t xml:space="preserve">Naya highlighted the key result areas framework as a structural gift — it gave her business a clarity of focus it had been missing. The methodology didn’t just help her prioritize; it created a shared language for her team and a filter for evaluating opportunities. That kind of structural clarity is a distinctive deliverable that few advisors offer.</w:t>
      </w:r>
    </w:p>
    <w:p>
      <w:pPr>
        <w:spacing w:after="80" w:before="200"/>
      </w:pPr>
      <w:r>
        <w:rPr>
          <w:b/>
          <w:bCs/>
          <w:i/>
          <w:iCs/>
          <w:sz w:val="22"/>
          <w:szCs w:val="22"/>
        </w:rPr>
        <w:t xml:space="preserve">Continued Problem-Solving Between Sessions</w:t>
      </w:r>
    </w:p>
    <w:p>
      <w:pPr>
        <w:spacing w:after="160"/>
      </w:pPr>
      <w:r>
        <w:rPr>
          <w:sz w:val="22"/>
          <w:szCs w:val="22"/>
        </w:rPr>
        <w:t xml:space="preserve">One detail Naya mentioned that speaks to above-and-beyond engagement: Jackie continues thinking about client problems between sessions. She doesn’t clock out when the Zoom ends. That sustained cognitive engagement — carrying the client’s challenges into the spaces between formal meetings — is part of what makes the work feel genuinely collaborative rather than transactional.</w:t>
      </w:r>
    </w:p>
    <w:p>
      <w:pPr>
        <w:spacing w:after="80" w:before="200"/>
      </w:pPr>
      <w:r>
        <w:rPr>
          <w:b/>
          <w:bCs/>
          <w:sz w:val="22"/>
          <w:szCs w:val="22"/>
        </w:rPr>
        <w:t xml:space="preserve">Key Themes</w:t>
      </w:r>
    </w:p>
    <w:p>
      <w:pPr>
        <w:pStyle w:val="ListParagraph"/>
        <w:numPr>
          <w:ilvl w:val="0"/>
          <w:numId w:val="1"/>
        </w:numPr>
        <w:spacing w:after="80"/>
      </w:pPr>
      <w:r>
        <w:rPr>
          <w:sz w:val="22"/>
          <w:szCs w:val="22"/>
        </w:rPr>
        <w:t xml:space="preserve">Practical collaboration — not cheerleading, but genuine co-problem-solving</w:t>
      </w:r>
    </w:p>
    <w:p>
      <w:pPr>
        <w:pStyle w:val="ListParagraph"/>
        <w:numPr>
          <w:ilvl w:val="0"/>
          <w:numId w:val="1"/>
        </w:numPr>
        <w:spacing w:after="80"/>
      </w:pPr>
      <w:r>
        <w:rPr>
          <w:sz w:val="22"/>
          <w:szCs w:val="22"/>
        </w:rPr>
        <w:t xml:space="preserve">Measurable results — traceable ROI, not just client satisfaction</w:t>
      </w:r>
    </w:p>
    <w:p>
      <w:pPr>
        <w:pStyle w:val="ListParagraph"/>
        <w:numPr>
          <w:ilvl w:val="0"/>
          <w:numId w:val="1"/>
        </w:numPr>
        <w:spacing w:after="80"/>
      </w:pPr>
      <w:r>
        <w:rPr>
          <w:sz w:val="22"/>
          <w:szCs w:val="22"/>
        </w:rPr>
        <w:t xml:space="preserve">Growing business confidence — building capacity, not just solving problems</w:t>
      </w:r>
    </w:p>
    <w:p>
      <w:pPr>
        <w:pStyle w:val="ListParagraph"/>
        <w:numPr>
          <w:ilvl w:val="0"/>
          <w:numId w:val="1"/>
        </w:numPr>
        <w:spacing w:after="80"/>
      </w:pPr>
      <w:r>
        <w:rPr>
          <w:sz w:val="22"/>
          <w:szCs w:val="22"/>
        </w:rPr>
        <w:t xml:space="preserve">Two funnels of knowledge — broad pattern recognition AND deep industry awareness</w:t>
      </w:r>
    </w:p>
    <w:p>
      <w:pPr>
        <w:pStyle w:val="ListParagraph"/>
        <w:numPr>
          <w:ilvl w:val="0"/>
          <w:numId w:val="1"/>
        </w:numPr>
        <w:spacing w:after="80"/>
      </w:pPr>
      <w:r>
        <w:rPr>
          <w:sz w:val="22"/>
          <w:szCs w:val="22"/>
        </w:rPr>
        <w:t xml:space="preserve">Structural clarity through key result areas — methodology as a deliverable</w:t>
      </w:r>
    </w:p>
    <w:p>
      <w:pPr>
        <w:pStyle w:val="ListParagraph"/>
        <w:numPr>
          <w:ilvl w:val="0"/>
          <w:numId w:val="1"/>
        </w:numPr>
        <w:spacing w:after="80"/>
      </w:pPr>
      <w:r>
        <w:rPr>
          <w:sz w:val="22"/>
          <w:szCs w:val="22"/>
        </w:rPr>
        <w:t xml:space="preserve">Problem-solving continues between sessions — above-and-beyond engagement</w:t>
      </w:r>
    </w:p>
    <w:p>
      <w:pPr>
        <w:pStyle w:val="Heading1"/>
        <w:spacing w:after="160" w:before="360"/>
      </w:pPr>
      <w:r>
        <w:rPr>
          <w:b/>
          <w:bCs/>
          <w:color w:val="0D1F4E"/>
          <w:sz w:val="30"/>
          <w:szCs w:val="30"/>
        </w:rPr>
        <w:t xml:space="preserve">SECTION 2 — Proof Points Tracker</w:t>
      </w:r>
    </w:p>
    <w:p>
      <w:pPr>
        <w:spacing w:after="160"/>
      </w:pPr>
      <w:r>
        <w:rPr>
          <w:sz w:val="22"/>
          <w:szCs w:val="22"/>
        </w:rPr>
        <w:t xml:space="preserve">The strongest differentiator signals from client interviews, flagged for use in positioning copy, website content, proposals, and sales conversations.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0D1F4E" w:val="clear"/>
            <w:tcMar>
              <w:top w:type="dxa" w:w="100"/>
              <w:left w:type="dxa" w:w="100"/>
              <w:bottom w:type="dxa" w:w="100"/>
              <w:right w:type="dxa" w:w="100"/>
            </w:tcMar>
          </w:tcPr>
          <w:p>
            <w:r>
              <w:rPr>
                <w:b/>
                <w:bCs/>
                <w:i w:val="false"/>
                <w:iCs w:val="false"/>
                <w:sz w:val="20"/>
                <w:szCs w:val="20"/>
              </w:rPr>
              <w:t xml:space="preserve">Differentiator Theme</w:t>
            </w:r>
          </w:p>
        </w:tc>
        <w:tc>
          <w:tcPr>
            <w:tcW w:type="dxa" w:w="3200"/>
            <w:shd w:fill="0D1F4E" w:val="clear"/>
            <w:tcMar>
              <w:top w:type="dxa" w:w="100"/>
              <w:left w:type="dxa" w:w="100"/>
              <w:bottom w:type="dxa" w:w="100"/>
              <w:right w:type="dxa" w:w="100"/>
            </w:tcMar>
          </w:tcPr>
          <w:p>
            <w:r>
              <w:rPr>
                <w:b/>
                <w:bCs/>
                <w:i w:val="false"/>
                <w:iCs w:val="false"/>
                <w:sz w:val="20"/>
                <w:szCs w:val="20"/>
              </w:rPr>
              <w:t xml:space="preserve">Client Signal / Language Used</w:t>
            </w:r>
          </w:p>
        </w:tc>
        <w:tc>
          <w:tcPr>
            <w:tcW w:type="dxa" w:w="2800"/>
            <w:shd w:fill="0D1F4E" w:val="clear"/>
            <w:tcMar>
              <w:top w:type="dxa" w:w="100"/>
              <w:left w:type="dxa" w:w="100"/>
              <w:bottom w:type="dxa" w:w="100"/>
              <w:right w:type="dxa" w:w="100"/>
            </w:tcMar>
          </w:tcPr>
          <w:p>
            <w:r>
              <w:rPr>
                <w:b/>
                <w:bCs/>
                <w:i w:val="false"/>
                <w:iCs w:val="false"/>
                <w:sz w:val="20"/>
                <w:szCs w:val="20"/>
              </w:rPr>
              <w:t xml:space="preserve">Positioning Application</w:t>
            </w:r>
          </w:p>
        </w:tc>
      </w:tr>
      <w:tr>
        <w:tc>
          <w:tcPr>
            <w:tcW w:type="dxa" w:w="2200"/>
            <w:tcMar>
              <w:top w:type="dxa" w:w="100"/>
              <w:left w:type="dxa" w:w="100"/>
              <w:bottom w:type="dxa" w:w="100"/>
              <w:right w:type="dxa" w:w="100"/>
            </w:tcMar>
          </w:tcPr>
          <w:p>
            <w:r>
              <w:rPr>
                <w:b w:val="false"/>
                <w:bCs w:val="false"/>
                <w:i w:val="false"/>
                <w:iCs w:val="false"/>
                <w:sz w:val="20"/>
                <w:szCs w:val="20"/>
              </w:rPr>
              <w:t xml:space="preserve">Outside Objectivity</w:t>
            </w:r>
          </w:p>
        </w:tc>
        <w:tc>
          <w:tcPr>
            <w:tcW w:type="dxa" w:w="3200"/>
            <w:tcMar>
              <w:top w:type="dxa" w:w="100"/>
              <w:left w:type="dxa" w:w="100"/>
              <w:bottom w:type="dxa" w:w="100"/>
              <w:right w:type="dxa" w:w="100"/>
            </w:tcMar>
          </w:tcPr>
          <w:p>
            <w:r>
              <w:rPr>
                <w:b w:val="false"/>
                <w:bCs w:val="false"/>
                <w:i/>
                <w:iCs/>
                <w:sz w:val="20"/>
                <w:szCs w:val="20"/>
              </w:rPr>
              <w:t xml:space="preserve">“I was too close to see my own situation objectively” — Mark Chapman</w:t>
            </w:r>
          </w:p>
        </w:tc>
        <w:tc>
          <w:tcPr>
            <w:tcW w:type="dxa" w:w="2800"/>
            <w:tcMar>
              <w:top w:type="dxa" w:w="100"/>
              <w:left w:type="dxa" w:w="100"/>
              <w:bottom w:type="dxa" w:w="100"/>
              <w:right w:type="dxa" w:w="100"/>
            </w:tcMar>
          </w:tcPr>
          <w:p>
            <w:r>
              <w:rPr>
                <w:b w:val="false"/>
                <w:bCs w:val="false"/>
                <w:i w:val="false"/>
                <w:iCs w:val="false"/>
                <w:sz w:val="20"/>
                <w:szCs w:val="20"/>
              </w:rPr>
              <w:t xml:space="preserve">Lead differentiator: positions Jackie as the essential outside lens for Stage II owners trapped in day-to-day operations.</w:t>
            </w:r>
          </w:p>
        </w:tc>
      </w:tr>
      <w:tr>
        <w:tc>
          <w:tcPr>
            <w:tcW w:type="dxa" w:w="2200"/>
            <w:tcMar>
              <w:top w:type="dxa" w:w="100"/>
              <w:left w:type="dxa" w:w="100"/>
              <w:bottom w:type="dxa" w:w="100"/>
              <w:right w:type="dxa" w:w="100"/>
            </w:tcMar>
          </w:tcPr>
          <w:p>
            <w:r>
              <w:rPr>
                <w:b w:val="false"/>
                <w:bCs w:val="false"/>
                <w:i w:val="false"/>
                <w:iCs w:val="false"/>
                <w:sz w:val="20"/>
                <w:szCs w:val="20"/>
              </w:rPr>
              <w:t xml:space="preserve">Fear Removal</w:t>
            </w:r>
          </w:p>
        </w:tc>
        <w:tc>
          <w:tcPr>
            <w:tcW w:type="dxa" w:w="3200"/>
            <w:tcMar>
              <w:top w:type="dxa" w:w="100"/>
              <w:left w:type="dxa" w:w="100"/>
              <w:bottom w:type="dxa" w:w="100"/>
              <w:right w:type="dxa" w:w="100"/>
            </w:tcMar>
          </w:tcPr>
          <w:p>
            <w:r>
              <w:rPr>
                <w:b w:val="false"/>
                <w:bCs w:val="false"/>
                <w:i/>
                <w:iCs/>
                <w:sz w:val="20"/>
                <w:szCs w:val="20"/>
              </w:rPr>
              <w:t xml:space="preserve">Jackie removed the fear of decision-making through wisdom and experience — Mark Chapman</w:t>
            </w:r>
          </w:p>
        </w:tc>
        <w:tc>
          <w:tcPr>
            <w:tcW w:type="dxa" w:w="2800"/>
            <w:tcMar>
              <w:top w:type="dxa" w:w="100"/>
              <w:left w:type="dxa" w:w="100"/>
              <w:bottom w:type="dxa" w:w="100"/>
              <w:right w:type="dxa" w:w="100"/>
            </w:tcMar>
          </w:tcPr>
          <w:p>
            <w:r>
              <w:rPr>
                <w:b w:val="false"/>
                <w:bCs w:val="false"/>
                <w:i w:val="false"/>
                <w:iCs w:val="false"/>
                <w:sz w:val="20"/>
                <w:szCs w:val="20"/>
              </w:rPr>
              <w:t xml:space="preserve">High-value outcome language for website hero, About page, and discovery call framing.</w:t>
            </w:r>
          </w:p>
        </w:tc>
      </w:tr>
      <w:tr>
        <w:tc>
          <w:tcPr>
            <w:tcW w:type="dxa" w:w="2200"/>
            <w:tcMar>
              <w:top w:type="dxa" w:w="100"/>
              <w:left w:type="dxa" w:w="100"/>
              <w:bottom w:type="dxa" w:w="100"/>
              <w:right w:type="dxa" w:w="100"/>
            </w:tcMar>
          </w:tcPr>
          <w:p>
            <w:r>
              <w:rPr>
                <w:b w:val="false"/>
                <w:bCs w:val="false"/>
                <w:i w:val="false"/>
                <w:iCs w:val="false"/>
                <w:sz w:val="20"/>
                <w:szCs w:val="20"/>
              </w:rPr>
              <w:t xml:space="preserve">No Program, No System</w:t>
            </w:r>
          </w:p>
        </w:tc>
        <w:tc>
          <w:tcPr>
            <w:tcW w:type="dxa" w:w="3200"/>
            <w:tcMar>
              <w:top w:type="dxa" w:w="100"/>
              <w:left w:type="dxa" w:w="100"/>
              <w:bottom w:type="dxa" w:w="100"/>
              <w:right w:type="dxa" w:w="100"/>
            </w:tcMar>
          </w:tcPr>
          <w:p>
            <w:r>
              <w:rPr>
                <w:b w:val="false"/>
                <w:bCs w:val="false"/>
                <w:i/>
                <w:iCs/>
                <w:sz w:val="20"/>
                <w:szCs w:val="20"/>
              </w:rPr>
              <w:t xml:space="preserve">Wasn’t selling a program or a system. Listened. Provided options. — Mark Chapman</w:t>
            </w:r>
          </w:p>
        </w:tc>
        <w:tc>
          <w:tcPr>
            <w:tcW w:type="dxa" w:w="2800"/>
            <w:tcMar>
              <w:top w:type="dxa" w:w="100"/>
              <w:left w:type="dxa" w:w="100"/>
              <w:bottom w:type="dxa" w:w="100"/>
              <w:right w:type="dxa" w:w="100"/>
            </w:tcMar>
          </w:tcPr>
          <w:p>
            <w:r>
              <w:rPr>
                <w:b w:val="false"/>
                <w:bCs w:val="false"/>
                <w:i w:val="false"/>
                <w:iCs w:val="false"/>
                <w:sz w:val="20"/>
                <w:szCs w:val="20"/>
              </w:rPr>
              <w:t xml:space="preserve">Direct contrast to EOS/systems competitors. Use in competitive positioning and ‘why Synnovatia’ copy.</w:t>
            </w:r>
          </w:p>
        </w:tc>
      </w:tr>
      <w:tr>
        <w:tc>
          <w:tcPr>
            <w:tcW w:type="dxa" w:w="2200"/>
            <w:tcMar>
              <w:top w:type="dxa" w:w="100"/>
              <w:left w:type="dxa" w:w="100"/>
              <w:bottom w:type="dxa" w:w="100"/>
              <w:right w:type="dxa" w:w="100"/>
            </w:tcMar>
          </w:tcPr>
          <w:p>
            <w:r>
              <w:rPr>
                <w:b w:val="false"/>
                <w:bCs w:val="false"/>
                <w:i w:val="false"/>
                <w:iCs w:val="false"/>
                <w:sz w:val="20"/>
                <w:szCs w:val="20"/>
              </w:rPr>
              <w:t xml:space="preserve">Personalized + Individual</w:t>
            </w:r>
          </w:p>
        </w:tc>
        <w:tc>
          <w:tcPr>
            <w:tcW w:type="dxa" w:w="3200"/>
            <w:tcMar>
              <w:top w:type="dxa" w:w="100"/>
              <w:left w:type="dxa" w:w="100"/>
              <w:bottom w:type="dxa" w:w="100"/>
              <w:right w:type="dxa" w:w="100"/>
            </w:tcMar>
          </w:tcPr>
          <w:p>
            <w:r>
              <w:rPr>
                <w:b w:val="false"/>
                <w:bCs w:val="false"/>
                <w:i/>
                <w:iCs/>
                <w:sz w:val="20"/>
                <w:szCs w:val="20"/>
              </w:rPr>
              <w:t xml:space="preserve">Individual attention vs. a group — Mark Chapman</w:t>
            </w:r>
          </w:p>
        </w:tc>
        <w:tc>
          <w:tcPr>
            <w:tcW w:type="dxa" w:w="2800"/>
            <w:tcMar>
              <w:top w:type="dxa" w:w="100"/>
              <w:left w:type="dxa" w:w="100"/>
              <w:bottom w:type="dxa" w:w="100"/>
              <w:right w:type="dxa" w:w="100"/>
            </w:tcMar>
          </w:tcPr>
          <w:p>
            <w:r>
              <w:rPr>
                <w:b w:val="false"/>
                <w:bCs w:val="false"/>
                <w:i w:val="false"/>
                <w:iCs w:val="false"/>
                <w:sz w:val="20"/>
                <w:szCs w:val="20"/>
              </w:rPr>
              <w:t xml:space="preserve">Differentiates from group coaching and mastermind-only competitors. Reinforce on services pages.</w:t>
            </w:r>
          </w:p>
        </w:tc>
      </w:tr>
      <w:tr>
        <w:tc>
          <w:tcPr>
            <w:tcW w:type="dxa" w:w="2200"/>
            <w:tcMar>
              <w:top w:type="dxa" w:w="100"/>
              <w:left w:type="dxa" w:w="100"/>
              <w:bottom w:type="dxa" w:w="100"/>
              <w:right w:type="dxa" w:w="100"/>
            </w:tcMar>
          </w:tcPr>
          <w:p>
            <w:r>
              <w:rPr>
                <w:b w:val="false"/>
                <w:bCs w:val="false"/>
                <w:i w:val="false"/>
                <w:iCs w:val="false"/>
                <w:sz w:val="20"/>
                <w:szCs w:val="20"/>
              </w:rPr>
              <w:t xml:space="preserve">Human / Peer Credibility</w:t>
            </w:r>
          </w:p>
        </w:tc>
        <w:tc>
          <w:tcPr>
            <w:tcW w:type="dxa" w:w="3200"/>
            <w:tcMar>
              <w:top w:type="dxa" w:w="100"/>
              <w:left w:type="dxa" w:w="100"/>
              <w:bottom w:type="dxa" w:w="100"/>
              <w:right w:type="dxa" w:w="100"/>
            </w:tcMar>
          </w:tcPr>
          <w:p>
            <w:r>
              <w:rPr>
                <w:b w:val="false"/>
                <w:bCs w:val="false"/>
                <w:i/>
                <w:iCs/>
                <w:sz w:val="20"/>
                <w:szCs w:val="20"/>
              </w:rPr>
              <w:t xml:space="preserve">Seen as human. Transparent in sharing personal business experience. — Mark Chapman</w:t>
            </w:r>
          </w:p>
        </w:tc>
        <w:tc>
          <w:tcPr>
            <w:tcW w:type="dxa" w:w="2800"/>
            <w:tcMar>
              <w:top w:type="dxa" w:w="100"/>
              <w:left w:type="dxa" w:w="100"/>
              <w:bottom w:type="dxa" w:w="100"/>
              <w:right w:type="dxa" w:w="100"/>
            </w:tcMar>
          </w:tcPr>
          <w:p>
            <w:r>
              <w:rPr>
                <w:b w:val="false"/>
                <w:bCs w:val="false"/>
                <w:i w:val="false"/>
                <w:iCs w:val="false"/>
                <w:sz w:val="20"/>
                <w:szCs w:val="20"/>
              </w:rPr>
              <w:t xml:space="preserve">Fuels the origin story and About page. Counters perception of coaches as detached consultants.</w:t>
            </w:r>
          </w:p>
        </w:tc>
      </w:tr>
      <w:tr>
        <w:tc>
          <w:tcPr>
            <w:tcW w:type="dxa" w:w="2200"/>
            <w:tcMar>
              <w:top w:type="dxa" w:w="100"/>
              <w:left w:type="dxa" w:w="100"/>
              <w:bottom w:type="dxa" w:w="100"/>
              <w:right w:type="dxa" w:w="100"/>
            </w:tcMar>
          </w:tcPr>
          <w:p>
            <w:r>
              <w:rPr>
                <w:b w:val="false"/>
                <w:bCs w:val="false"/>
                <w:i w:val="false"/>
                <w:iCs w:val="false"/>
                <w:sz w:val="20"/>
                <w:szCs w:val="20"/>
              </w:rPr>
              <w:t xml:space="preserve">Intellectual Honesty</w:t>
            </w:r>
          </w:p>
        </w:tc>
        <w:tc>
          <w:tcPr>
            <w:tcW w:type="dxa" w:w="3200"/>
            <w:tcMar>
              <w:top w:type="dxa" w:w="100"/>
              <w:left w:type="dxa" w:w="100"/>
              <w:bottom w:type="dxa" w:w="100"/>
              <w:right w:type="dxa" w:w="100"/>
            </w:tcMar>
          </w:tcPr>
          <w:p>
            <w:r>
              <w:rPr>
                <w:b w:val="false"/>
                <w:bCs w:val="false"/>
                <w:i/>
                <w:iCs/>
                <w:sz w:val="20"/>
                <w:szCs w:val="20"/>
              </w:rPr>
              <w:t xml:space="preserve">If she didn’t know, she would admit it and find resources. — Mark Chapman</w:t>
            </w:r>
          </w:p>
        </w:tc>
        <w:tc>
          <w:tcPr>
            <w:tcW w:type="dxa" w:w="2800"/>
            <w:tcMar>
              <w:top w:type="dxa" w:w="100"/>
              <w:left w:type="dxa" w:w="100"/>
              <w:bottom w:type="dxa" w:w="100"/>
              <w:right w:type="dxa" w:w="100"/>
            </w:tcMar>
          </w:tcPr>
          <w:p>
            <w:r>
              <w:rPr>
                <w:b w:val="false"/>
                <w:bCs w:val="false"/>
                <w:i w:val="false"/>
                <w:iCs w:val="false"/>
                <w:sz w:val="20"/>
                <w:szCs w:val="20"/>
              </w:rPr>
              <w:t xml:space="preserve">Trust-building signal. Use in bio/About copy to contrast with overconfident competitors.</w:t>
            </w:r>
          </w:p>
        </w:tc>
      </w:tr>
      <w:tr>
        <w:tc>
          <w:tcPr>
            <w:tcW w:type="dxa" w:w="2200"/>
            <w:tcMar>
              <w:top w:type="dxa" w:w="100"/>
              <w:left w:type="dxa" w:w="100"/>
              <w:bottom w:type="dxa" w:w="100"/>
              <w:right w:type="dxa" w:w="100"/>
            </w:tcMar>
          </w:tcPr>
          <w:p>
            <w:r>
              <w:rPr>
                <w:b w:val="false"/>
                <w:bCs w:val="false"/>
                <w:i w:val="false"/>
                <w:iCs w:val="false"/>
                <w:sz w:val="20"/>
                <w:szCs w:val="20"/>
              </w:rPr>
              <w:t xml:space="preserve">Trust Through Meeting</w:t>
            </w:r>
          </w:p>
        </w:tc>
        <w:tc>
          <w:tcPr>
            <w:tcW w:type="dxa" w:w="3200"/>
            <w:tcMar>
              <w:top w:type="dxa" w:w="100"/>
              <w:left w:type="dxa" w:w="100"/>
              <w:bottom w:type="dxa" w:w="100"/>
              <w:right w:type="dxa" w:w="100"/>
            </w:tcMar>
          </w:tcPr>
          <w:p>
            <w:r>
              <w:rPr>
                <w:b w:val="false"/>
                <w:bCs w:val="false"/>
                <w:i/>
                <w:iCs/>
                <w:sz w:val="20"/>
                <w:szCs w:val="20"/>
              </w:rPr>
              <w:t xml:space="preserve">Confidence in hiring came from meeting Jackie — she earned trust. — Mark Chapman</w:t>
            </w:r>
          </w:p>
        </w:tc>
        <w:tc>
          <w:tcPr>
            <w:tcW w:type="dxa" w:w="2800"/>
            <w:tcMar>
              <w:top w:type="dxa" w:w="100"/>
              <w:left w:type="dxa" w:w="100"/>
              <w:bottom w:type="dxa" w:w="100"/>
              <w:right w:type="dxa" w:w="100"/>
            </w:tcMar>
          </w:tcPr>
          <w:p>
            <w:r>
              <w:rPr>
                <w:b w:val="false"/>
                <w:bCs w:val="false"/>
                <w:i w:val="false"/>
                <w:iCs w:val="false"/>
                <w:sz w:val="20"/>
                <w:szCs w:val="20"/>
              </w:rPr>
              <w:t xml:space="preserve">Supports discovery call as the conversion moment. Reinforces importance of consultation process.</w:t>
            </w:r>
          </w:p>
        </w:tc>
      </w:tr>
      <w:tr>
        <w:tc>
          <w:tcPr>
            <w:tcW w:type="dxa" w:w="2200"/>
            <w:tcMar>
              <w:top w:type="dxa" w:w="100"/>
              <w:left w:type="dxa" w:w="100"/>
              <w:bottom w:type="dxa" w:w="100"/>
              <w:right w:type="dxa" w:w="100"/>
            </w:tcMar>
          </w:tcPr>
          <w:p>
            <w:r>
              <w:rPr>
                <w:b w:val="false"/>
                <w:bCs w:val="false"/>
                <w:i w:val="false"/>
                <w:iCs w:val="false"/>
                <w:sz w:val="20"/>
                <w:szCs w:val="20"/>
              </w:rPr>
              <w:t xml:space="preserve">Walks the Talk</w:t>
            </w:r>
          </w:p>
        </w:tc>
        <w:tc>
          <w:tcPr>
            <w:tcW w:type="dxa" w:w="3200"/>
            <w:tcMar>
              <w:top w:type="dxa" w:w="100"/>
              <w:left w:type="dxa" w:w="100"/>
              <w:bottom w:type="dxa" w:w="100"/>
              <w:right w:type="dxa" w:w="100"/>
            </w:tcMar>
          </w:tcPr>
          <w:p>
            <w:r>
              <w:rPr>
                <w:b w:val="false"/>
                <w:bCs w:val="false"/>
                <w:i/>
                <w:iCs/>
                <w:sz w:val="20"/>
                <w:szCs w:val="20"/>
              </w:rPr>
              <w:t xml:space="preserve">Jackie walks the talk — credibility from lived experience, not theory. — Christina Carlson</w:t>
            </w:r>
          </w:p>
        </w:tc>
        <w:tc>
          <w:tcPr>
            <w:tcW w:type="dxa" w:w="2800"/>
            <w:tcMar>
              <w:top w:type="dxa" w:w="100"/>
              <w:left w:type="dxa" w:w="100"/>
              <w:bottom w:type="dxa" w:w="100"/>
              <w:right w:type="dxa" w:w="100"/>
            </w:tcMar>
          </w:tcPr>
          <w:p>
            <w:r>
              <w:rPr>
                <w:b w:val="false"/>
                <w:bCs w:val="false"/>
                <w:i w:val="false"/>
                <w:iCs w:val="false"/>
                <w:sz w:val="20"/>
                <w:szCs w:val="20"/>
              </w:rPr>
              <w:t xml:space="preserve">Reinforces human/peer credibility theme. Use in About page and bio copy alongside Mark’s corroborating signal.</w:t>
            </w:r>
          </w:p>
        </w:tc>
      </w:tr>
      <w:tr>
        <w:tc>
          <w:tcPr>
            <w:tcW w:type="dxa" w:w="2200"/>
            <w:tcMar>
              <w:top w:type="dxa" w:w="100"/>
              <w:left w:type="dxa" w:w="100"/>
              <w:bottom w:type="dxa" w:w="100"/>
              <w:right w:type="dxa" w:w="100"/>
            </w:tcMar>
          </w:tcPr>
          <w:p>
            <w:r>
              <w:rPr>
                <w:b w:val="false"/>
                <w:bCs w:val="false"/>
                <w:i w:val="false"/>
                <w:iCs w:val="false"/>
                <w:sz w:val="20"/>
                <w:szCs w:val="20"/>
              </w:rPr>
              <w:t xml:space="preserve">Emotional Intelligence</w:t>
            </w:r>
          </w:p>
        </w:tc>
        <w:tc>
          <w:tcPr>
            <w:tcW w:type="dxa" w:w="3200"/>
            <w:tcMar>
              <w:top w:type="dxa" w:w="100"/>
              <w:left w:type="dxa" w:w="100"/>
              <w:bottom w:type="dxa" w:w="100"/>
              <w:right w:type="dxa" w:w="100"/>
            </w:tcMar>
          </w:tcPr>
          <w:p>
            <w:r>
              <w:rPr>
                <w:b w:val="false"/>
                <w:bCs w:val="false"/>
                <w:i/>
                <w:iCs/>
                <w:sz w:val="20"/>
                <w:szCs w:val="20"/>
              </w:rPr>
              <w:t xml:space="preserve">Holds space for emotion, knows the ache and frustration, and knows when it’s time to move on. — Christina Carlson</w:t>
            </w:r>
          </w:p>
        </w:tc>
        <w:tc>
          <w:tcPr>
            <w:tcW w:type="dxa" w:w="2800"/>
            <w:tcMar>
              <w:top w:type="dxa" w:w="100"/>
              <w:left w:type="dxa" w:w="100"/>
              <w:bottom w:type="dxa" w:w="100"/>
              <w:right w:type="dxa" w:w="100"/>
            </w:tcMar>
          </w:tcPr>
          <w:p>
            <w:r>
              <w:rPr>
                <w:b w:val="false"/>
                <w:bCs w:val="false"/>
                <w:i w:val="false"/>
                <w:iCs w:val="false"/>
                <w:sz w:val="20"/>
                <w:szCs w:val="20"/>
              </w:rPr>
              <w:t xml:space="preserve">Rare and highly differentiated. Use in services copy and discovery call framing. Directly addresses the gap left by systems-focused competitors.</w:t>
            </w:r>
          </w:p>
        </w:tc>
      </w:tr>
      <w:tr>
        <w:tc>
          <w:tcPr>
            <w:tcW w:type="dxa" w:w="2200"/>
            <w:tcMar>
              <w:top w:type="dxa" w:w="100"/>
              <w:left w:type="dxa" w:w="100"/>
              <w:bottom w:type="dxa" w:w="100"/>
              <w:right w:type="dxa" w:w="100"/>
            </w:tcMar>
          </w:tcPr>
          <w:p>
            <w:r>
              <w:rPr>
                <w:b w:val="false"/>
                <w:bCs w:val="false"/>
                <w:i w:val="false"/>
                <w:iCs w:val="false"/>
                <w:sz w:val="20"/>
                <w:szCs w:val="20"/>
              </w:rPr>
              <w:t xml:space="preserve">Entrepreneur/Leader Distinction</w:t>
            </w:r>
          </w:p>
        </w:tc>
        <w:tc>
          <w:tcPr>
            <w:tcW w:type="dxa" w:w="3200"/>
            <w:tcMar>
              <w:top w:type="dxa" w:w="100"/>
              <w:left w:type="dxa" w:w="100"/>
              <w:bottom w:type="dxa" w:w="100"/>
              <w:right w:type="dxa" w:w="100"/>
            </w:tcMar>
          </w:tcPr>
          <w:p>
            <w:r>
              <w:rPr>
                <w:b w:val="false"/>
                <w:bCs w:val="false"/>
                <w:i/>
                <w:iCs/>
                <w:sz w:val="20"/>
                <w:szCs w:val="20"/>
              </w:rPr>
              <w:t xml:space="preserve">An entrepreneur can’t put things down because doing so means no pay, no growth. Jackie gets this. — Christina Carlson</w:t>
            </w:r>
          </w:p>
        </w:tc>
        <w:tc>
          <w:tcPr>
            <w:tcW w:type="dxa" w:w="2800"/>
            <w:tcMar>
              <w:top w:type="dxa" w:w="100"/>
              <w:left w:type="dxa" w:w="100"/>
              <w:bottom w:type="dxa" w:w="100"/>
              <w:right w:type="dxa" w:w="100"/>
            </w:tcMar>
          </w:tcPr>
          <w:p>
            <w:r>
              <w:rPr>
                <w:b w:val="false"/>
                <w:bCs w:val="false"/>
                <w:i w:val="false"/>
                <w:iCs w:val="false"/>
                <w:sz w:val="20"/>
                <w:szCs w:val="20"/>
              </w:rPr>
              <w:t xml:space="preserve">Powerful competitive positioning against leadership-focused programs. Deploy in homepage, Messy Middle pillar page, and competitive contrast copy.</w:t>
            </w:r>
          </w:p>
        </w:tc>
      </w:tr>
      <w:tr>
        <w:tc>
          <w:tcPr>
            <w:tcW w:type="dxa" w:w="2200"/>
            <w:tcMar>
              <w:top w:type="dxa" w:w="100"/>
              <w:left w:type="dxa" w:w="100"/>
              <w:bottom w:type="dxa" w:w="100"/>
              <w:right w:type="dxa" w:w="100"/>
            </w:tcMar>
          </w:tcPr>
          <w:p>
            <w:r>
              <w:rPr>
                <w:b w:val="false"/>
                <w:bCs w:val="false"/>
                <w:i w:val="false"/>
                <w:iCs w:val="false"/>
                <w:sz w:val="20"/>
                <w:szCs w:val="20"/>
              </w:rPr>
              <w:t xml:space="preserve">Kindhearted Assertiveness</w:t>
            </w:r>
          </w:p>
        </w:tc>
        <w:tc>
          <w:tcPr>
            <w:tcW w:type="dxa" w:w="3200"/>
            <w:tcMar>
              <w:top w:type="dxa" w:w="100"/>
              <w:left w:type="dxa" w:w="100"/>
              <w:bottom w:type="dxa" w:w="100"/>
              <w:right w:type="dxa" w:w="100"/>
            </w:tcMar>
          </w:tcPr>
          <w:p>
            <w:r>
              <w:rPr>
                <w:b w:val="false"/>
                <w:bCs w:val="false"/>
                <w:i/>
                <w:iCs/>
                <w:sz w:val="20"/>
                <w:szCs w:val="20"/>
              </w:rPr>
              <w:t xml:space="preserve">Balances kindness with assertiveness in the best way — has the client’s back. — Christina Carlson</w:t>
            </w:r>
          </w:p>
        </w:tc>
        <w:tc>
          <w:tcPr>
            <w:tcW w:type="dxa" w:w="2800"/>
            <w:tcMar>
              <w:top w:type="dxa" w:w="100"/>
              <w:left w:type="dxa" w:w="100"/>
              <w:bottom w:type="dxa" w:w="100"/>
              <w:right w:type="dxa" w:w="100"/>
            </w:tcMar>
          </w:tcPr>
          <w:p>
            <w:r>
              <w:rPr>
                <w:b w:val="false"/>
                <w:bCs w:val="false"/>
                <w:i w:val="false"/>
                <w:iCs w:val="false"/>
                <w:sz w:val="20"/>
                <w:szCs w:val="20"/>
              </w:rPr>
              <w:t xml:space="preserve">Describes the coaching style in a way competitors can’t easily claim. Use in About page, proposal language, and services descriptions.</w:t>
            </w:r>
          </w:p>
        </w:tc>
      </w:tr>
      <w:tr>
        <w:tc>
          <w:tcPr>
            <w:tcW w:type="dxa" w:w="2200"/>
            <w:tcMar>
              <w:top w:type="dxa" w:w="100"/>
              <w:left w:type="dxa" w:w="100"/>
              <w:bottom w:type="dxa" w:w="100"/>
              <w:right w:type="dxa" w:w="100"/>
            </w:tcMar>
          </w:tcPr>
          <w:p>
            <w:r>
              <w:rPr>
                <w:b w:val="false"/>
                <w:bCs w:val="false"/>
                <w:i w:val="false"/>
                <w:iCs w:val="false"/>
                <w:sz w:val="20"/>
                <w:szCs w:val="20"/>
              </w:rPr>
              <w:t xml:space="preserve">Ethical Presence / Genuine Character</w:t>
            </w:r>
          </w:p>
        </w:tc>
        <w:tc>
          <w:tcPr>
            <w:tcW w:type="dxa" w:w="3200"/>
            <w:tcMar>
              <w:top w:type="dxa" w:w="100"/>
              <w:left w:type="dxa" w:w="100"/>
              <w:bottom w:type="dxa" w:w="100"/>
              <w:right w:type="dxa" w:w="100"/>
            </w:tcMar>
          </w:tcPr>
          <w:p>
            <w:r>
              <w:rPr>
                <w:b w:val="false"/>
                <w:bCs w:val="false"/>
                <w:i/>
                <w:iCs/>
                <w:sz w:val="20"/>
                <w:szCs w:val="20"/>
              </w:rPr>
              <w:t xml:space="preserve">“In a world where there seem to be so many grifts, Jackie is genuine.” — Anne Laguzza</w:t>
            </w:r>
          </w:p>
        </w:tc>
        <w:tc>
          <w:tcPr>
            <w:tcW w:type="dxa" w:w="2800"/>
            <w:tcMar>
              <w:top w:type="dxa" w:w="100"/>
              <w:left w:type="dxa" w:w="100"/>
              <w:bottom w:type="dxa" w:w="100"/>
              <w:right w:type="dxa" w:w="100"/>
            </w:tcMar>
          </w:tcPr>
          <w:p>
            <w:r>
              <w:rPr>
                <w:b w:val="false"/>
                <w:bCs w:val="false"/>
                <w:i w:val="false"/>
                <w:iCs w:val="false"/>
                <w:sz w:val="20"/>
                <w:szCs w:val="20"/>
              </w:rPr>
              <w:t xml:space="preserve">Rare trust signal in a crowded coaching market. Deploy in About page and discovery call framing — directly addresses prospect skepticism about coaching authenticity.</w:t>
            </w:r>
          </w:p>
        </w:tc>
      </w:tr>
      <w:tr>
        <w:tc>
          <w:tcPr>
            <w:tcW w:type="dxa" w:w="2200"/>
            <w:tcMar>
              <w:top w:type="dxa" w:w="100"/>
              <w:left w:type="dxa" w:w="100"/>
              <w:bottom w:type="dxa" w:w="100"/>
              <w:right w:type="dxa" w:w="100"/>
            </w:tcMar>
          </w:tcPr>
          <w:p>
            <w:r>
              <w:rPr>
                <w:b w:val="false"/>
                <w:bCs w:val="false"/>
                <w:i w:val="false"/>
                <w:iCs w:val="false"/>
                <w:sz w:val="20"/>
                <w:szCs w:val="20"/>
              </w:rPr>
              <w:t xml:space="preserve">Problem-Interest Orientation</w:t>
            </w:r>
          </w:p>
        </w:tc>
        <w:tc>
          <w:tcPr>
            <w:tcW w:type="dxa" w:w="3200"/>
            <w:tcMar>
              <w:top w:type="dxa" w:w="100"/>
              <w:left w:type="dxa" w:w="100"/>
              <w:bottom w:type="dxa" w:w="100"/>
              <w:right w:type="dxa" w:w="100"/>
            </w:tcMar>
          </w:tcPr>
          <w:p>
            <w:r>
              <w:rPr>
                <w:b w:val="false"/>
                <w:bCs w:val="false"/>
                <w:i/>
                <w:iCs/>
                <w:sz w:val="20"/>
                <w:szCs w:val="20"/>
              </w:rPr>
              <w:t xml:space="preserve">Interest in trying to figure out what the issue was and solving the problem — Anne Laguzza</w:t>
            </w:r>
          </w:p>
        </w:tc>
        <w:tc>
          <w:tcPr>
            <w:tcW w:type="dxa" w:w="2800"/>
            <w:tcMar>
              <w:top w:type="dxa" w:w="100"/>
              <w:left w:type="dxa" w:w="100"/>
              <w:bottom w:type="dxa" w:w="100"/>
              <w:right w:type="dxa" w:w="100"/>
            </w:tcMar>
          </w:tcPr>
          <w:p>
            <w:r>
              <w:rPr>
                <w:b w:val="false"/>
                <w:bCs w:val="false"/>
                <w:i w:val="false"/>
                <w:iCs w:val="false"/>
                <w:sz w:val="20"/>
                <w:szCs w:val="20"/>
              </w:rPr>
              <w:t xml:space="preserve">Differentiates diagnostic approach. Use in services pages and proposals alongside the symptom-core-performance methodology framing.</w:t>
            </w:r>
          </w:p>
        </w:tc>
      </w:tr>
      <w:tr>
        <w:tc>
          <w:tcPr>
            <w:tcW w:type="dxa" w:w="2200"/>
            <w:tcMar>
              <w:top w:type="dxa" w:w="100"/>
              <w:left w:type="dxa" w:w="100"/>
              <w:bottom w:type="dxa" w:w="100"/>
              <w:right w:type="dxa" w:w="100"/>
            </w:tcMar>
          </w:tcPr>
          <w:p>
            <w:r>
              <w:rPr>
                <w:b w:val="false"/>
                <w:bCs w:val="false"/>
                <w:i w:val="false"/>
                <w:iCs w:val="false"/>
                <w:sz w:val="20"/>
                <w:szCs w:val="20"/>
              </w:rPr>
              <w:t xml:space="preserve">Clarity + Achievability</w:t>
            </w:r>
          </w:p>
        </w:tc>
        <w:tc>
          <w:tcPr>
            <w:tcW w:type="dxa" w:w="3200"/>
            <w:tcMar>
              <w:top w:type="dxa" w:w="100"/>
              <w:left w:type="dxa" w:w="100"/>
              <w:bottom w:type="dxa" w:w="100"/>
              <w:right w:type="dxa" w:w="100"/>
            </w:tcMar>
          </w:tcPr>
          <w:p>
            <w:r>
              <w:rPr>
                <w:b w:val="false"/>
                <w:bCs w:val="false"/>
                <w:i/>
                <w:iCs/>
                <w:sz w:val="20"/>
                <w:szCs w:val="20"/>
              </w:rPr>
              <w:t xml:space="preserve">Gave clarity she didn’t have — made goals feel achievable, not aspirational — Anne Laguzza</w:t>
            </w:r>
          </w:p>
        </w:tc>
        <w:tc>
          <w:tcPr>
            <w:tcW w:type="dxa" w:w="2800"/>
            <w:tcMar>
              <w:top w:type="dxa" w:w="100"/>
              <w:left w:type="dxa" w:w="100"/>
              <w:bottom w:type="dxa" w:w="100"/>
              <w:right w:type="dxa" w:w="100"/>
            </w:tcMar>
          </w:tcPr>
          <w:p>
            <w:r>
              <w:rPr>
                <w:b w:val="false"/>
                <w:bCs w:val="false"/>
                <w:i w:val="false"/>
                <w:iCs w:val="false"/>
                <w:sz w:val="20"/>
                <w:szCs w:val="20"/>
              </w:rPr>
              <w:t xml:space="preserve">Outcome language for website hero and proposal decks. Pairs well with Stage II / Messy Middle positioning.</w:t>
            </w:r>
          </w:p>
        </w:tc>
      </w:tr>
      <w:tr>
        <w:tc>
          <w:tcPr>
            <w:tcW w:type="dxa" w:w="2200"/>
            <w:tcMar>
              <w:top w:type="dxa" w:w="100"/>
              <w:left w:type="dxa" w:w="100"/>
              <w:bottom w:type="dxa" w:w="100"/>
              <w:right w:type="dxa" w:w="100"/>
            </w:tcMar>
          </w:tcPr>
          <w:p>
            <w:r>
              <w:rPr>
                <w:b w:val="false"/>
                <w:bCs w:val="false"/>
                <w:i w:val="false"/>
                <w:iCs w:val="false"/>
                <w:sz w:val="20"/>
                <w:szCs w:val="20"/>
              </w:rPr>
              <w:t xml:space="preserve">Relevant &amp; Fad-Free</w:t>
            </w:r>
          </w:p>
        </w:tc>
        <w:tc>
          <w:tcPr>
            <w:tcW w:type="dxa" w:w="3200"/>
            <w:tcMar>
              <w:top w:type="dxa" w:w="100"/>
              <w:left w:type="dxa" w:w="100"/>
              <w:bottom w:type="dxa" w:w="100"/>
              <w:right w:type="dxa" w:w="100"/>
            </w:tcMar>
          </w:tcPr>
          <w:p>
            <w:r>
              <w:rPr>
                <w:b w:val="false"/>
                <w:bCs w:val="false"/>
                <w:i/>
                <w:iCs/>
                <w:sz w:val="20"/>
                <w:szCs w:val="20"/>
              </w:rPr>
              <w:t xml:space="preserve">Relevant — and you don’t chase fads — Anne Laguzza</w:t>
            </w:r>
          </w:p>
        </w:tc>
        <w:tc>
          <w:tcPr>
            <w:tcW w:type="dxa" w:w="2800"/>
            <w:tcMar>
              <w:top w:type="dxa" w:w="100"/>
              <w:left w:type="dxa" w:w="100"/>
              <w:bottom w:type="dxa" w:w="100"/>
              <w:right w:type="dxa" w:w="100"/>
            </w:tcMar>
          </w:tcPr>
          <w:p>
            <w:r>
              <w:rPr>
                <w:b w:val="false"/>
                <w:bCs w:val="false"/>
                <w:i w:val="false"/>
                <w:iCs w:val="false"/>
                <w:sz w:val="20"/>
                <w:szCs w:val="20"/>
              </w:rPr>
              <w:t xml:space="preserve">Counter-positioning against trend-driven coaches. Use in competitive contrast copy and About page.</w:t>
            </w:r>
          </w:p>
        </w:tc>
      </w:tr>
      <w:tr>
        <w:tc>
          <w:tcPr>
            <w:tcW w:type="dxa" w:w="2200"/>
            <w:tcMar>
              <w:top w:type="dxa" w:w="100"/>
              <w:left w:type="dxa" w:w="100"/>
              <w:bottom w:type="dxa" w:w="100"/>
              <w:right w:type="dxa" w:w="100"/>
            </w:tcMar>
          </w:tcPr>
          <w:p>
            <w:r>
              <w:rPr>
                <w:b w:val="false"/>
                <w:bCs w:val="false"/>
                <w:i w:val="false"/>
                <w:iCs w:val="false"/>
                <w:sz w:val="20"/>
                <w:szCs w:val="20"/>
              </w:rPr>
              <w:t xml:space="preserve">Willingness to Innovate / Iterate</w:t>
            </w:r>
          </w:p>
        </w:tc>
        <w:tc>
          <w:tcPr>
            <w:tcW w:type="dxa" w:w="3200"/>
            <w:tcMar>
              <w:top w:type="dxa" w:w="100"/>
              <w:left w:type="dxa" w:w="100"/>
              <w:bottom w:type="dxa" w:w="100"/>
              <w:right w:type="dxa" w:w="100"/>
            </w:tcMar>
          </w:tcPr>
          <w:p>
            <w:r>
              <w:rPr>
                <w:b w:val="false"/>
                <w:bCs w:val="false"/>
                <w:i/>
                <w:iCs/>
                <w:sz w:val="20"/>
                <w:szCs w:val="20"/>
              </w:rPr>
              <w:t xml:space="preserve">Jackie is willing to innovate, change, and iterate as times change; willing to look at what’s working and stop what’s not — Anne Laguzza</w:t>
            </w:r>
          </w:p>
        </w:tc>
        <w:tc>
          <w:tcPr>
            <w:tcW w:type="dxa" w:w="2800"/>
            <w:tcMar>
              <w:top w:type="dxa" w:w="100"/>
              <w:left w:type="dxa" w:w="100"/>
              <w:bottom w:type="dxa" w:w="100"/>
              <w:right w:type="dxa" w:w="100"/>
            </w:tcMar>
          </w:tcPr>
          <w:p>
            <w:r>
              <w:rPr>
                <w:b w:val="false"/>
                <w:bCs w:val="false"/>
                <w:i w:val="false"/>
                <w:iCs w:val="false"/>
                <w:sz w:val="20"/>
                <w:szCs w:val="20"/>
              </w:rPr>
              <w:t xml:space="preserve">Reinforces ‘walks the talk’ theme. Powerful proof point that Jackie models the behavior she teaches. Use in bio and proposal language.</w:t>
            </w:r>
          </w:p>
        </w:tc>
      </w:tr>
      <w:tr>
        <w:tc>
          <w:tcPr>
            <w:tcW w:type="dxa" w:w="2200"/>
            <w:tcMar>
              <w:top w:type="dxa" w:w="100"/>
              <w:left w:type="dxa" w:w="100"/>
              <w:bottom w:type="dxa" w:w="100"/>
              <w:right w:type="dxa" w:w="100"/>
            </w:tcMar>
          </w:tcPr>
          <w:p>
            <w:r>
              <w:rPr>
                <w:b w:val="false"/>
                <w:bCs w:val="false"/>
                <w:i w:val="false"/>
                <w:iCs w:val="false"/>
                <w:sz w:val="20"/>
                <w:szCs w:val="20"/>
              </w:rPr>
              <w:t xml:space="preserve">Peer Relatability (Shared Struggle)</w:t>
            </w:r>
          </w:p>
        </w:tc>
        <w:tc>
          <w:tcPr>
            <w:tcW w:type="dxa" w:w="3200"/>
            <w:tcMar>
              <w:top w:type="dxa" w:w="100"/>
              <w:left w:type="dxa" w:w="100"/>
              <w:bottom w:type="dxa" w:w="100"/>
              <w:right w:type="dxa" w:w="100"/>
            </w:tcMar>
          </w:tcPr>
          <w:p>
            <w:r>
              <w:rPr>
                <w:b w:val="false"/>
                <w:bCs w:val="false"/>
                <w:i/>
                <w:iCs/>
                <w:sz w:val="20"/>
                <w:szCs w:val="20"/>
              </w:rPr>
              <w:t xml:space="preserve">Actively looking for people with similar struggles and challenges — found that in Jackie — Anne Laguzza</w:t>
            </w:r>
          </w:p>
        </w:tc>
        <w:tc>
          <w:tcPr>
            <w:tcW w:type="dxa" w:w="2800"/>
            <w:tcMar>
              <w:top w:type="dxa" w:w="100"/>
              <w:left w:type="dxa" w:w="100"/>
              <w:bottom w:type="dxa" w:w="100"/>
              <w:right w:type="dxa" w:w="100"/>
            </w:tcMar>
          </w:tcPr>
          <w:p>
            <w:r>
              <w:rPr>
                <w:b w:val="false"/>
                <w:bCs w:val="false"/>
                <w:i w:val="false"/>
                <w:iCs w:val="false"/>
                <w:sz w:val="20"/>
                <w:szCs w:val="20"/>
              </w:rPr>
              <w:t xml:space="preserve">Corroborates Human Peer Dynamic theme from Mark and Christina. Reinforces Jackie as a peer, not a detached expert.</w:t>
            </w:r>
          </w:p>
        </w:tc>
      </w:tr>
      <w:tr>
        <w:tc>
          <w:tcPr>
            <w:tcW w:type="dxa" w:w="2200"/>
            <w:tcMar>
              <w:top w:type="dxa" w:w="100"/>
              <w:left w:type="dxa" w:w="100"/>
              <w:bottom w:type="dxa" w:w="100"/>
              <w:right w:type="dxa" w:w="100"/>
            </w:tcMar>
          </w:tcPr>
          <w:p>
            <w:r>
              <w:rPr>
                <w:b w:val="false"/>
                <w:bCs w:val="false"/>
                <w:i w:val="false"/>
                <w:iCs w:val="false"/>
                <w:sz w:val="20"/>
                <w:szCs w:val="20"/>
              </w:rPr>
              <w:t xml:space="preserve">Curated Group Quality</w:t>
            </w:r>
          </w:p>
        </w:tc>
        <w:tc>
          <w:tcPr>
            <w:tcW w:type="dxa" w:w="3200"/>
            <w:tcMar>
              <w:top w:type="dxa" w:w="100"/>
              <w:left w:type="dxa" w:w="100"/>
              <w:bottom w:type="dxa" w:w="100"/>
              <w:right w:type="dxa" w:w="100"/>
            </w:tcMar>
          </w:tcPr>
          <w:p>
            <w:r>
              <w:rPr>
                <w:b w:val="false"/>
                <w:bCs w:val="false"/>
                <w:i/>
                <w:iCs/>
                <w:sz w:val="20"/>
                <w:szCs w:val="20"/>
              </w:rPr>
              <w:t xml:space="preserve">Brings together people with different perspectives — quality of people in the coaching group matters — Anne Laguzza</w:t>
            </w:r>
          </w:p>
        </w:tc>
        <w:tc>
          <w:tcPr>
            <w:tcW w:type="dxa" w:w="2800"/>
            <w:tcMar>
              <w:top w:type="dxa" w:w="100"/>
              <w:left w:type="dxa" w:w="100"/>
              <w:bottom w:type="dxa" w:w="100"/>
              <w:right w:type="dxa" w:w="100"/>
            </w:tcMar>
          </w:tcPr>
          <w:p>
            <w:r>
              <w:rPr>
                <w:b w:val="false"/>
                <w:bCs w:val="false"/>
                <w:i w:val="false"/>
                <w:iCs w:val="false"/>
                <w:sz w:val="20"/>
                <w:szCs w:val="20"/>
              </w:rPr>
              <w:t xml:space="preserve">Differentiates Mastermind/group offering from generic peer groups. Use in Mastermind page and enrollment copy.</w:t>
            </w:r>
          </w:p>
        </w:tc>
      </w:tr>
      <w:tr>
        <w:tc>
          <w:tcPr>
            <w:tcW w:type="dxa" w:w="2200"/>
            <w:tcMar>
              <w:top w:type="dxa" w:w="100"/>
              <w:left w:type="dxa" w:w="100"/>
              <w:bottom w:type="dxa" w:w="100"/>
              <w:right w:type="dxa" w:w="100"/>
            </w:tcMar>
          </w:tcPr>
          <w:p>
            <w:r>
              <w:rPr>
                <w:b w:val="false"/>
                <w:bCs w:val="false"/>
                <w:i w:val="false"/>
                <w:iCs w:val="false"/>
                <w:sz w:val="20"/>
                <w:szCs w:val="20"/>
              </w:rPr>
              <w:t xml:space="preserve">30,000-Foot View</w:t>
            </w:r>
          </w:p>
        </w:tc>
        <w:tc>
          <w:tcPr>
            <w:tcW w:type="dxa" w:w="3200"/>
            <w:tcMar>
              <w:top w:type="dxa" w:w="100"/>
              <w:left w:type="dxa" w:w="100"/>
              <w:bottom w:type="dxa" w:w="100"/>
              <w:right w:type="dxa" w:w="100"/>
            </w:tcMar>
          </w:tcPr>
          <w:p>
            <w:r>
              <w:rPr>
                <w:b w:val="false"/>
                <w:bCs w:val="false"/>
                <w:i/>
                <w:iCs/>
                <w:sz w:val="20"/>
                <w:szCs w:val="20"/>
              </w:rPr>
              <w:t xml:space="preserve">“Jackie helps me see the 30,000-ft view” — Raffi Saroyan</w:t>
            </w:r>
          </w:p>
        </w:tc>
        <w:tc>
          <w:tcPr>
            <w:tcW w:type="dxa" w:w="2800"/>
            <w:tcMar>
              <w:top w:type="dxa" w:w="100"/>
              <w:left w:type="dxa" w:w="100"/>
              <w:bottom w:type="dxa" w:w="100"/>
              <w:right w:type="dxa" w:w="100"/>
            </w:tcMar>
          </w:tcPr>
          <w:p>
            <w:r>
              <w:rPr>
                <w:b w:val="false"/>
                <w:bCs w:val="false"/>
                <w:i w:val="false"/>
                <w:iCs w:val="false"/>
                <w:sz w:val="20"/>
                <w:szCs w:val="20"/>
              </w:rPr>
              <w:t xml:space="preserve">Signature altitude metaphor for strategic positioning. Deploy in homepage headline testing and Messy Middle pillar page.</w:t>
            </w:r>
          </w:p>
        </w:tc>
      </w:tr>
      <w:tr>
        <w:tc>
          <w:tcPr>
            <w:tcW w:type="dxa" w:w="2200"/>
            <w:tcMar>
              <w:top w:type="dxa" w:w="100"/>
              <w:left w:type="dxa" w:w="100"/>
              <w:bottom w:type="dxa" w:w="100"/>
              <w:right w:type="dxa" w:w="100"/>
            </w:tcMar>
          </w:tcPr>
          <w:p>
            <w:r>
              <w:rPr>
                <w:b w:val="false"/>
                <w:bCs w:val="false"/>
                <w:i w:val="false"/>
                <w:iCs w:val="false"/>
                <w:sz w:val="20"/>
                <w:szCs w:val="20"/>
              </w:rPr>
              <w:t xml:space="preserve">Articulating the Gut</w:t>
            </w:r>
          </w:p>
        </w:tc>
        <w:tc>
          <w:tcPr>
            <w:tcW w:type="dxa" w:w="3200"/>
            <w:tcMar>
              <w:top w:type="dxa" w:w="100"/>
              <w:left w:type="dxa" w:w="100"/>
              <w:bottom w:type="dxa" w:w="100"/>
              <w:right w:type="dxa" w:w="100"/>
            </w:tcMar>
          </w:tcPr>
          <w:p>
            <w:r>
              <w:rPr>
                <w:b w:val="false"/>
                <w:bCs w:val="false"/>
                <w:i/>
                <w:iCs/>
                <w:sz w:val="20"/>
                <w:szCs w:val="20"/>
              </w:rPr>
              <w:t xml:space="preserve">Jackie puts words to what clients know intuitively but can’t say. — Raffi Saroyan</w:t>
            </w:r>
          </w:p>
        </w:tc>
        <w:tc>
          <w:tcPr>
            <w:tcW w:type="dxa" w:w="2800"/>
            <w:tcMar>
              <w:top w:type="dxa" w:w="100"/>
              <w:left w:type="dxa" w:w="100"/>
              <w:bottom w:type="dxa" w:w="100"/>
              <w:right w:type="dxa" w:w="100"/>
            </w:tcMar>
          </w:tcPr>
          <w:p>
            <w:r>
              <w:rPr>
                <w:b w:val="false"/>
                <w:bCs w:val="false"/>
                <w:i w:val="false"/>
                <w:iCs w:val="false"/>
                <w:sz w:val="20"/>
                <w:szCs w:val="20"/>
              </w:rPr>
              <w:t xml:space="preserve">Bridges intuition and strategy. Use in About page and proposal copy.</w:t>
            </w:r>
          </w:p>
        </w:tc>
      </w:tr>
      <w:tr>
        <w:tc>
          <w:tcPr>
            <w:tcW w:type="dxa" w:w="2200"/>
            <w:tcMar>
              <w:top w:type="dxa" w:w="100"/>
              <w:left w:type="dxa" w:w="100"/>
              <w:bottom w:type="dxa" w:w="100"/>
              <w:right w:type="dxa" w:w="100"/>
            </w:tcMar>
          </w:tcPr>
          <w:p>
            <w:r>
              <w:rPr>
                <w:b w:val="false"/>
                <w:bCs w:val="false"/>
                <w:i w:val="false"/>
                <w:iCs w:val="false"/>
                <w:sz w:val="20"/>
                <w:szCs w:val="20"/>
              </w:rPr>
              <w:t xml:space="preserve">Effort Where Others Pass</w:t>
            </w:r>
          </w:p>
        </w:tc>
        <w:tc>
          <w:tcPr>
            <w:tcW w:type="dxa" w:w="3200"/>
            <w:tcMar>
              <w:top w:type="dxa" w:w="100"/>
              <w:left w:type="dxa" w:w="100"/>
              <w:bottom w:type="dxa" w:w="100"/>
              <w:right w:type="dxa" w:w="100"/>
            </w:tcMar>
          </w:tcPr>
          <w:p>
            <w:r>
              <w:rPr>
                <w:b w:val="false"/>
                <w:bCs w:val="false"/>
                <w:i/>
                <w:iCs/>
                <w:sz w:val="20"/>
                <w:szCs w:val="20"/>
              </w:rPr>
              <w:t xml:space="preserve">Jackie goes where others won’t — she does the hard work. — Raffi Saroyan</w:t>
            </w:r>
          </w:p>
        </w:tc>
        <w:tc>
          <w:tcPr>
            <w:tcW w:type="dxa" w:w="2800"/>
            <w:tcMar>
              <w:top w:type="dxa" w:w="100"/>
              <w:left w:type="dxa" w:w="100"/>
              <w:bottom w:type="dxa" w:w="100"/>
              <w:right w:type="dxa" w:w="100"/>
            </w:tcMar>
          </w:tcPr>
          <w:p>
            <w:r>
              <w:rPr>
                <w:b w:val="false"/>
                <w:bCs w:val="false"/>
                <w:i w:val="false"/>
                <w:iCs w:val="false"/>
                <w:sz w:val="20"/>
                <w:szCs w:val="20"/>
              </w:rPr>
              <w:t xml:space="preserve">Competitive contrast. Signals above-and-beyond commitment.</w:t>
            </w:r>
          </w:p>
        </w:tc>
      </w:tr>
      <w:tr>
        <w:tc>
          <w:tcPr>
            <w:tcW w:type="dxa" w:w="2200"/>
            <w:tcMar>
              <w:top w:type="dxa" w:w="100"/>
              <w:left w:type="dxa" w:w="100"/>
              <w:bottom w:type="dxa" w:w="100"/>
              <w:right w:type="dxa" w:w="100"/>
            </w:tcMar>
          </w:tcPr>
          <w:p>
            <w:r>
              <w:rPr>
                <w:b w:val="false"/>
                <w:bCs w:val="false"/>
                <w:i w:val="false"/>
                <w:iCs w:val="false"/>
                <w:sz w:val="20"/>
                <w:szCs w:val="20"/>
              </w:rPr>
              <w:t xml:space="preserve">Solopreneur Advisory Scarcity</w:t>
            </w:r>
          </w:p>
        </w:tc>
        <w:tc>
          <w:tcPr>
            <w:tcW w:type="dxa" w:w="3200"/>
            <w:tcMar>
              <w:top w:type="dxa" w:w="100"/>
              <w:left w:type="dxa" w:w="100"/>
              <w:bottom w:type="dxa" w:w="100"/>
              <w:right w:type="dxa" w:w="100"/>
            </w:tcMar>
          </w:tcPr>
          <w:p>
            <w:r>
              <w:rPr>
                <w:b w:val="false"/>
                <w:bCs w:val="false"/>
                <w:i/>
                <w:iCs/>
                <w:sz w:val="20"/>
                <w:szCs w:val="20"/>
              </w:rPr>
              <w:t xml:space="preserve">“There’s no one else doing what Jackie does for solopreneurs.” — Raffi Saroyan</w:t>
            </w:r>
          </w:p>
        </w:tc>
        <w:tc>
          <w:tcPr>
            <w:tcW w:type="dxa" w:w="2800"/>
            <w:tcMar>
              <w:top w:type="dxa" w:w="100"/>
              <w:left w:type="dxa" w:w="100"/>
              <w:bottom w:type="dxa" w:w="100"/>
              <w:right w:type="dxa" w:w="100"/>
            </w:tcMar>
          </w:tcPr>
          <w:p>
            <w:r>
              <w:rPr>
                <w:b w:val="false"/>
                <w:bCs w:val="false"/>
                <w:i w:val="false"/>
                <w:iCs w:val="false"/>
                <w:sz w:val="20"/>
                <w:szCs w:val="20"/>
              </w:rPr>
              <w:t xml:space="preserve">Category-creating language. Deploy as proof of market gap.</w:t>
            </w:r>
          </w:p>
        </w:tc>
      </w:tr>
      <w:tr>
        <w:tc>
          <w:tcPr>
            <w:tcW w:type="dxa" w:w="2200"/>
            <w:tcMar>
              <w:top w:type="dxa" w:w="100"/>
              <w:left w:type="dxa" w:w="100"/>
              <w:bottom w:type="dxa" w:w="100"/>
              <w:right w:type="dxa" w:w="100"/>
            </w:tcMar>
          </w:tcPr>
          <w:p>
            <w:r>
              <w:rPr>
                <w:b w:val="false"/>
                <w:bCs w:val="false"/>
                <w:i w:val="false"/>
                <w:iCs w:val="false"/>
                <w:sz w:val="20"/>
                <w:szCs w:val="20"/>
              </w:rPr>
              <w:t xml:space="preserve">Distinctiveness Over Imitation</w:t>
            </w:r>
          </w:p>
        </w:tc>
        <w:tc>
          <w:tcPr>
            <w:tcW w:type="dxa" w:w="3200"/>
            <w:tcMar>
              <w:top w:type="dxa" w:w="100"/>
              <w:left w:type="dxa" w:w="100"/>
              <w:bottom w:type="dxa" w:w="100"/>
              <w:right w:type="dxa" w:w="100"/>
            </w:tcMar>
          </w:tcPr>
          <w:p>
            <w:r>
              <w:rPr>
                <w:b w:val="false"/>
                <w:bCs w:val="false"/>
                <w:i/>
                <w:iCs/>
                <w:sz w:val="20"/>
                <w:szCs w:val="20"/>
              </w:rPr>
              <w:t xml:space="preserve">“Different is better than better” — Craig Ullom (external observer)</w:t>
            </w:r>
          </w:p>
        </w:tc>
        <w:tc>
          <w:tcPr>
            <w:tcW w:type="dxa" w:w="2800"/>
            <w:tcMar>
              <w:top w:type="dxa" w:w="100"/>
              <w:left w:type="dxa" w:w="100"/>
              <w:bottom w:type="dxa" w:w="100"/>
              <w:right w:type="dxa" w:w="100"/>
            </w:tcMar>
          </w:tcPr>
          <w:p>
            <w:r>
              <w:rPr>
                <w:b w:val="false"/>
                <w:bCs w:val="false"/>
                <w:i w:val="false"/>
                <w:iCs w:val="false"/>
                <w:sz w:val="20"/>
                <w:szCs w:val="20"/>
              </w:rPr>
              <w:t xml:space="preserve">Names the core positioning thesis. Validate against client language in other interviews.</w:t>
            </w:r>
          </w:p>
        </w:tc>
      </w:tr>
      <w:tr>
        <w:tc>
          <w:tcPr>
            <w:tcW w:type="dxa" w:w="2200"/>
            <w:tcMar>
              <w:top w:type="dxa" w:w="100"/>
              <w:left w:type="dxa" w:w="100"/>
              <w:bottom w:type="dxa" w:w="100"/>
              <w:right w:type="dxa" w:w="100"/>
            </w:tcMar>
          </w:tcPr>
          <w:p>
            <w:r>
              <w:rPr>
                <w:b w:val="false"/>
                <w:bCs w:val="false"/>
                <w:i w:val="false"/>
                <w:iCs w:val="false"/>
                <w:sz w:val="20"/>
                <w:szCs w:val="20"/>
              </w:rPr>
              <w:t xml:space="preserve">Lead with Customer’s Problem</w:t>
            </w:r>
          </w:p>
        </w:tc>
        <w:tc>
          <w:tcPr>
            <w:tcW w:type="dxa" w:w="3200"/>
            <w:tcMar>
              <w:top w:type="dxa" w:w="100"/>
              <w:left w:type="dxa" w:w="100"/>
              <w:bottom w:type="dxa" w:w="100"/>
              <w:right w:type="dxa" w:w="100"/>
            </w:tcMar>
          </w:tcPr>
          <w:p>
            <w:r>
              <w:rPr>
                <w:b w:val="false"/>
                <w:bCs w:val="false"/>
                <w:i/>
                <w:iCs/>
                <w:sz w:val="20"/>
                <w:szCs w:val="20"/>
              </w:rPr>
              <w:t xml:space="preserve">Lead with the customer’s problem, not your solution. — Craig Ullom</w:t>
            </w:r>
          </w:p>
        </w:tc>
        <w:tc>
          <w:tcPr>
            <w:tcW w:type="dxa" w:w="2800"/>
            <w:tcMar>
              <w:top w:type="dxa" w:w="100"/>
              <w:left w:type="dxa" w:w="100"/>
              <w:bottom w:type="dxa" w:w="100"/>
              <w:right w:type="dxa" w:w="100"/>
            </w:tcMar>
          </w:tcPr>
          <w:p>
            <w:r>
              <w:rPr>
                <w:b w:val="false"/>
                <w:bCs w:val="false"/>
                <w:i w:val="false"/>
                <w:iCs w:val="false"/>
                <w:sz w:val="20"/>
                <w:szCs w:val="20"/>
              </w:rPr>
              <w:t xml:space="preserve">Messaging architecture principle. Inform homepage hero and service page openers.</w:t>
            </w:r>
          </w:p>
        </w:tc>
      </w:tr>
      <w:tr>
        <w:tc>
          <w:tcPr>
            <w:tcW w:type="dxa" w:w="2200"/>
            <w:tcMar>
              <w:top w:type="dxa" w:w="100"/>
              <w:left w:type="dxa" w:w="100"/>
              <w:bottom w:type="dxa" w:w="100"/>
              <w:right w:type="dxa" w:w="100"/>
            </w:tcMar>
          </w:tcPr>
          <w:p>
            <w:r>
              <w:rPr>
                <w:b w:val="false"/>
                <w:bCs w:val="false"/>
                <w:i w:val="false"/>
                <w:iCs w:val="false"/>
                <w:sz w:val="20"/>
                <w:szCs w:val="20"/>
              </w:rPr>
              <w:t xml:space="preserve">Video Engagement</w:t>
            </w:r>
          </w:p>
        </w:tc>
        <w:tc>
          <w:tcPr>
            <w:tcW w:type="dxa" w:w="3200"/>
            <w:tcMar>
              <w:top w:type="dxa" w:w="100"/>
              <w:left w:type="dxa" w:w="100"/>
              <w:bottom w:type="dxa" w:w="100"/>
              <w:right w:type="dxa" w:w="100"/>
            </w:tcMar>
          </w:tcPr>
          <w:p>
            <w:r>
              <w:rPr>
                <w:b w:val="false"/>
                <w:bCs w:val="false"/>
                <w:i/>
                <w:iCs/>
                <w:sz w:val="20"/>
                <w:szCs w:val="20"/>
              </w:rPr>
              <w:t xml:space="preserve">Video builds trust faster than any other medium. — Craig Ullom</w:t>
            </w:r>
          </w:p>
        </w:tc>
        <w:tc>
          <w:tcPr>
            <w:tcW w:type="dxa" w:w="2800"/>
            <w:tcMar>
              <w:top w:type="dxa" w:w="100"/>
              <w:left w:type="dxa" w:w="100"/>
              <w:bottom w:type="dxa" w:w="100"/>
              <w:right w:type="dxa" w:w="100"/>
            </w:tcMar>
          </w:tcPr>
          <w:p>
            <w:r>
              <w:rPr>
                <w:b w:val="false"/>
                <w:bCs w:val="false"/>
                <w:i w:val="false"/>
                <w:iCs w:val="false"/>
                <w:sz w:val="20"/>
                <w:szCs w:val="20"/>
              </w:rPr>
              <w:t xml:space="preserve">Channel/format strategy. Flag for content and marketing roadmap.</w:t>
            </w:r>
          </w:p>
        </w:tc>
      </w:tr>
      <w:tr>
        <w:tc>
          <w:tcPr>
            <w:tcW w:type="dxa" w:w="2200"/>
            <w:tcMar>
              <w:top w:type="dxa" w:w="100"/>
              <w:left w:type="dxa" w:w="100"/>
              <w:bottom w:type="dxa" w:w="100"/>
              <w:right w:type="dxa" w:w="100"/>
            </w:tcMar>
          </w:tcPr>
          <w:p>
            <w:r>
              <w:rPr>
                <w:b w:val="false"/>
                <w:bCs w:val="false"/>
                <w:i w:val="false"/>
                <w:iCs w:val="false"/>
                <w:sz w:val="20"/>
                <w:szCs w:val="20"/>
              </w:rPr>
              <w:t xml:space="preserve">Therapist to Entrepreneurs</w:t>
            </w:r>
          </w:p>
        </w:tc>
        <w:tc>
          <w:tcPr>
            <w:tcW w:type="dxa" w:w="3200"/>
            <w:tcMar>
              <w:top w:type="dxa" w:w="100"/>
              <w:left w:type="dxa" w:w="100"/>
              <w:bottom w:type="dxa" w:w="100"/>
              <w:right w:type="dxa" w:w="100"/>
            </w:tcMar>
          </w:tcPr>
          <w:p>
            <w:r>
              <w:rPr>
                <w:b w:val="false"/>
                <w:bCs w:val="false"/>
                <w:i/>
                <w:iCs/>
                <w:sz w:val="20"/>
                <w:szCs w:val="20"/>
              </w:rPr>
              <w:t xml:space="preserve">“Jackie is like a therapist to entrepreneurs.” — Sandra Martinez</w:t>
            </w:r>
          </w:p>
        </w:tc>
        <w:tc>
          <w:tcPr>
            <w:tcW w:type="dxa" w:w="2800"/>
            <w:tcMar>
              <w:top w:type="dxa" w:w="100"/>
              <w:left w:type="dxa" w:w="100"/>
              <w:bottom w:type="dxa" w:w="100"/>
              <w:right w:type="dxa" w:w="100"/>
            </w:tcMar>
          </w:tcPr>
          <w:p>
            <w:r>
              <w:rPr>
                <w:b w:val="false"/>
                <w:bCs w:val="false"/>
                <w:i w:val="false"/>
                <w:iCs w:val="false"/>
                <w:sz w:val="20"/>
                <w:szCs w:val="20"/>
              </w:rPr>
              <w:t xml:space="preserve">Vivid, memorable framing. Use carefully — validates emotional intelligence but may need positioning guardrails.</w:t>
            </w:r>
          </w:p>
        </w:tc>
      </w:tr>
      <w:tr>
        <w:tc>
          <w:tcPr>
            <w:tcW w:type="dxa" w:w="2200"/>
            <w:tcMar>
              <w:top w:type="dxa" w:w="100"/>
              <w:left w:type="dxa" w:w="100"/>
              <w:bottom w:type="dxa" w:w="100"/>
              <w:right w:type="dxa" w:w="100"/>
            </w:tcMar>
          </w:tcPr>
          <w:p>
            <w:r>
              <w:rPr>
                <w:b w:val="false"/>
                <w:bCs w:val="false"/>
                <w:i w:val="false"/>
                <w:iCs w:val="false"/>
                <w:sz w:val="20"/>
                <w:szCs w:val="20"/>
              </w:rPr>
              <w:t xml:space="preserve">Jiggling the Key</w:t>
            </w:r>
          </w:p>
        </w:tc>
        <w:tc>
          <w:tcPr>
            <w:tcW w:type="dxa" w:w="3200"/>
            <w:tcMar>
              <w:top w:type="dxa" w:w="100"/>
              <w:left w:type="dxa" w:w="100"/>
              <w:bottom w:type="dxa" w:w="100"/>
              <w:right w:type="dxa" w:w="100"/>
            </w:tcMar>
          </w:tcPr>
          <w:p>
            <w:r>
              <w:rPr>
                <w:b w:val="false"/>
                <w:bCs w:val="false"/>
                <w:i/>
                <w:iCs/>
                <w:sz w:val="20"/>
                <w:szCs w:val="20"/>
              </w:rPr>
              <w:t xml:space="preserve">“She’s always jiggling the key — finding the way in.” — Sandra Martinez</w:t>
            </w:r>
          </w:p>
        </w:tc>
        <w:tc>
          <w:tcPr>
            <w:tcW w:type="dxa" w:w="2800"/>
            <w:tcMar>
              <w:top w:type="dxa" w:w="100"/>
              <w:left w:type="dxa" w:w="100"/>
              <w:bottom w:type="dxa" w:w="100"/>
              <w:right w:type="dxa" w:w="100"/>
            </w:tcMar>
          </w:tcPr>
          <w:p>
            <w:r>
              <w:rPr>
                <w:b w:val="false"/>
                <w:bCs w:val="false"/>
                <w:i w:val="false"/>
                <w:iCs w:val="false"/>
                <w:sz w:val="20"/>
                <w:szCs w:val="20"/>
              </w:rPr>
              <w:t xml:space="preserve">Memorable proof of persistence and creativity. Strong for storytelling and About page.</w:t>
            </w:r>
          </w:p>
        </w:tc>
      </w:tr>
      <w:tr>
        <w:tc>
          <w:tcPr>
            <w:tcW w:type="dxa" w:w="2200"/>
            <w:tcMar>
              <w:top w:type="dxa" w:w="100"/>
              <w:left w:type="dxa" w:w="100"/>
              <w:bottom w:type="dxa" w:w="100"/>
              <w:right w:type="dxa" w:w="100"/>
            </w:tcMar>
          </w:tcPr>
          <w:p>
            <w:r>
              <w:rPr>
                <w:b w:val="false"/>
                <w:bCs w:val="false"/>
                <w:i w:val="false"/>
                <w:iCs w:val="false"/>
                <w:sz w:val="20"/>
                <w:szCs w:val="20"/>
              </w:rPr>
              <w:t xml:space="preserve">Warmth as Strategic Differentiator</w:t>
            </w:r>
          </w:p>
        </w:tc>
        <w:tc>
          <w:tcPr>
            <w:tcW w:type="dxa" w:w="3200"/>
            <w:tcMar>
              <w:top w:type="dxa" w:w="100"/>
              <w:left w:type="dxa" w:w="100"/>
              <w:bottom w:type="dxa" w:w="100"/>
              <w:right w:type="dxa" w:w="100"/>
            </w:tcMar>
          </w:tcPr>
          <w:p>
            <w:r>
              <w:rPr>
                <w:b w:val="false"/>
                <w:bCs w:val="false"/>
                <w:i/>
                <w:iCs/>
                <w:sz w:val="20"/>
                <w:szCs w:val="20"/>
              </w:rPr>
              <w:t xml:space="preserve">Clients experience Jackie’s warmth as a strategic asset, not a soft trait. — Laura Labovich</w:t>
            </w:r>
          </w:p>
        </w:tc>
        <w:tc>
          <w:tcPr>
            <w:tcW w:type="dxa" w:w="2800"/>
            <w:tcMar>
              <w:top w:type="dxa" w:w="100"/>
              <w:left w:type="dxa" w:w="100"/>
              <w:bottom w:type="dxa" w:w="100"/>
              <w:right w:type="dxa" w:w="100"/>
            </w:tcMar>
          </w:tcPr>
          <w:p>
            <w:r>
              <w:rPr>
                <w:b w:val="false"/>
                <w:bCs w:val="false"/>
                <w:i w:val="false"/>
                <w:iCs w:val="false"/>
                <w:sz w:val="20"/>
                <w:szCs w:val="20"/>
              </w:rPr>
              <w:t xml:space="preserve">Reframes warmth as competitive advantage. Use across About page, discovery call, and proposal copy.</w:t>
            </w:r>
          </w:p>
        </w:tc>
      </w:tr>
      <w:tr>
        <w:tc>
          <w:tcPr>
            <w:tcW w:type="dxa" w:w="2200"/>
            <w:tcMar>
              <w:top w:type="dxa" w:w="100"/>
              <w:left w:type="dxa" w:w="100"/>
              <w:bottom w:type="dxa" w:w="100"/>
              <w:right w:type="dxa" w:w="100"/>
            </w:tcMar>
          </w:tcPr>
          <w:p>
            <w:r>
              <w:rPr>
                <w:b w:val="false"/>
                <w:bCs w:val="false"/>
                <w:i w:val="false"/>
                <w:iCs w:val="false"/>
                <w:sz w:val="20"/>
                <w:szCs w:val="20"/>
              </w:rPr>
              <w:t xml:space="preserve">Presence &amp; Listening</w:t>
            </w:r>
          </w:p>
        </w:tc>
        <w:tc>
          <w:tcPr>
            <w:tcW w:type="dxa" w:w="3200"/>
            <w:tcMar>
              <w:top w:type="dxa" w:w="100"/>
              <w:left w:type="dxa" w:w="100"/>
              <w:bottom w:type="dxa" w:w="100"/>
              <w:right w:type="dxa" w:w="100"/>
            </w:tcMar>
          </w:tcPr>
          <w:p>
            <w:r>
              <w:rPr>
                <w:b w:val="false"/>
                <w:bCs w:val="false"/>
                <w:i/>
                <w:iCs/>
                <w:sz w:val="20"/>
                <w:szCs w:val="20"/>
              </w:rPr>
              <w:t xml:space="preserve">Jackie makes clients feel genuinely heard and seen — not processed. — Mark Chapman, Christina Carlson, Laura Labovich</w:t>
            </w:r>
          </w:p>
        </w:tc>
        <w:tc>
          <w:tcPr>
            <w:tcW w:type="dxa" w:w="2800"/>
            <w:tcMar>
              <w:top w:type="dxa" w:w="100"/>
              <w:left w:type="dxa" w:w="100"/>
              <w:bottom w:type="dxa" w:w="100"/>
              <w:right w:type="dxa" w:w="100"/>
            </w:tcMar>
          </w:tcPr>
          <w:p>
            <w:r>
              <w:rPr>
                <w:b w:val="false"/>
                <w:bCs w:val="false"/>
                <w:i w:val="false"/>
                <w:iCs w:val="false"/>
                <w:sz w:val="20"/>
                <w:szCs w:val="20"/>
              </w:rPr>
              <w:t xml:space="preserve">Strong cross-client theme. Anchor for ‘how Jackie works’ copy.</w:t>
            </w:r>
          </w:p>
        </w:tc>
      </w:tr>
      <w:tr>
        <w:tc>
          <w:tcPr>
            <w:tcW w:type="dxa" w:w="2200"/>
            <w:tcMar>
              <w:top w:type="dxa" w:w="100"/>
              <w:left w:type="dxa" w:w="100"/>
              <w:bottom w:type="dxa" w:w="100"/>
              <w:right w:type="dxa" w:w="100"/>
            </w:tcMar>
          </w:tcPr>
          <w:p>
            <w:r>
              <w:rPr>
                <w:b w:val="false"/>
                <w:bCs w:val="false"/>
                <w:i w:val="false"/>
                <w:iCs w:val="false"/>
                <w:sz w:val="20"/>
                <w:szCs w:val="20"/>
              </w:rPr>
              <w:t xml:space="preserve">The Way She Makes You Feel</w:t>
            </w:r>
          </w:p>
        </w:tc>
        <w:tc>
          <w:tcPr>
            <w:tcW w:type="dxa" w:w="3200"/>
            <w:tcMar>
              <w:top w:type="dxa" w:w="100"/>
              <w:left w:type="dxa" w:w="100"/>
              <w:bottom w:type="dxa" w:w="100"/>
              <w:right w:type="dxa" w:w="100"/>
            </w:tcMar>
          </w:tcPr>
          <w:p>
            <w:r>
              <w:rPr>
                <w:b w:val="false"/>
                <w:bCs w:val="false"/>
                <w:i/>
                <w:iCs/>
                <w:sz w:val="20"/>
                <w:szCs w:val="20"/>
              </w:rPr>
              <w:t xml:space="preserve">“You always leave a session feeling better than when you came in.” — Laura Labovich</w:t>
            </w:r>
          </w:p>
        </w:tc>
        <w:tc>
          <w:tcPr>
            <w:tcW w:type="dxa" w:w="2800"/>
            <w:tcMar>
              <w:top w:type="dxa" w:w="100"/>
              <w:left w:type="dxa" w:w="100"/>
              <w:bottom w:type="dxa" w:w="100"/>
              <w:right w:type="dxa" w:w="100"/>
            </w:tcMar>
          </w:tcPr>
          <w:p>
            <w:r>
              <w:rPr>
                <w:b w:val="false"/>
                <w:bCs w:val="false"/>
                <w:i w:val="false"/>
                <w:iCs w:val="false"/>
                <w:sz w:val="20"/>
                <w:szCs w:val="20"/>
              </w:rPr>
              <w:t xml:space="preserve">Outcome language that resonates emotionally. High-value for testimonials and service descriptions.</w:t>
            </w:r>
          </w:p>
        </w:tc>
      </w:tr>
      <w:tr>
        <w:tc>
          <w:tcPr>
            <w:tcW w:type="dxa" w:w="2200"/>
            <w:tcMar>
              <w:top w:type="dxa" w:w="100"/>
              <w:left w:type="dxa" w:w="100"/>
              <w:bottom w:type="dxa" w:w="100"/>
              <w:right w:type="dxa" w:w="100"/>
            </w:tcMar>
          </w:tcPr>
          <w:p>
            <w:r>
              <w:rPr>
                <w:b w:val="false"/>
                <w:bCs w:val="false"/>
                <w:i w:val="false"/>
                <w:iCs w:val="false"/>
                <w:sz w:val="20"/>
                <w:szCs w:val="20"/>
              </w:rPr>
              <w:t xml:space="preserve">Experience Reveals the Difference</w:t>
            </w:r>
          </w:p>
        </w:tc>
        <w:tc>
          <w:tcPr>
            <w:tcW w:type="dxa" w:w="3200"/>
            <w:tcMar>
              <w:top w:type="dxa" w:w="100"/>
              <w:left w:type="dxa" w:w="100"/>
              <w:bottom w:type="dxa" w:w="100"/>
              <w:right w:type="dxa" w:w="100"/>
            </w:tcMar>
          </w:tcPr>
          <w:p>
            <w:r>
              <w:rPr>
                <w:b w:val="false"/>
                <w:bCs w:val="false"/>
                <w:i/>
                <w:iCs/>
                <w:sz w:val="20"/>
                <w:szCs w:val="20"/>
              </w:rPr>
              <w:t xml:space="preserve">Clients only fully understand Jackie’s value once they’re in the work. — Sandra Martinez, Laura Labovich</w:t>
            </w:r>
          </w:p>
        </w:tc>
        <w:tc>
          <w:tcPr>
            <w:tcW w:type="dxa" w:w="2800"/>
            <w:tcMar>
              <w:top w:type="dxa" w:w="100"/>
              <w:left w:type="dxa" w:w="100"/>
              <w:bottom w:type="dxa" w:w="100"/>
              <w:right w:type="dxa" w:w="100"/>
            </w:tcMar>
          </w:tcPr>
          <w:p>
            <w:r>
              <w:rPr>
                <w:b w:val="false"/>
                <w:bCs w:val="false"/>
                <w:i w:val="false"/>
                <w:iCs w:val="false"/>
                <w:sz w:val="20"/>
                <w:szCs w:val="20"/>
              </w:rPr>
              <w:t xml:space="preserve">Signals need for strong referral/case-study copy and discovery call design.</w:t>
            </w:r>
          </w:p>
        </w:tc>
      </w:tr>
      <w:tr>
        <w:tc>
          <w:tcPr>
            <w:tcW w:type="dxa" w:w="2200"/>
            <w:tcMar>
              <w:top w:type="dxa" w:w="100"/>
              <w:left w:type="dxa" w:w="100"/>
              <w:bottom w:type="dxa" w:w="100"/>
              <w:right w:type="dxa" w:w="100"/>
            </w:tcMar>
          </w:tcPr>
          <w:p>
            <w:r>
              <w:rPr>
                <w:b w:val="false"/>
                <w:bCs w:val="false"/>
                <w:i w:val="false"/>
                <w:iCs w:val="false"/>
                <w:sz w:val="20"/>
                <w:szCs w:val="20"/>
              </w:rPr>
              <w:t xml:space="preserve">Practical Collaboration</w:t>
            </w:r>
          </w:p>
        </w:tc>
        <w:tc>
          <w:tcPr>
            <w:tcW w:type="dxa" w:w="3200"/>
            <w:tcMar>
              <w:top w:type="dxa" w:w="100"/>
              <w:left w:type="dxa" w:w="100"/>
              <w:bottom w:type="dxa" w:w="100"/>
              <w:right w:type="dxa" w:w="100"/>
            </w:tcMar>
          </w:tcPr>
          <w:p>
            <w:r>
              <w:rPr>
                <w:b w:val="false"/>
                <w:bCs w:val="false"/>
                <w:i/>
                <w:iCs/>
                <w:sz w:val="20"/>
                <w:szCs w:val="20"/>
              </w:rPr>
              <w:t xml:space="preserve">Jackie doesn’t just cheer — she rolls up her sleeves. — Naya Troup</w:t>
            </w:r>
          </w:p>
        </w:tc>
        <w:tc>
          <w:tcPr>
            <w:tcW w:type="dxa" w:w="2800"/>
            <w:tcMar>
              <w:top w:type="dxa" w:w="100"/>
              <w:left w:type="dxa" w:w="100"/>
              <w:bottom w:type="dxa" w:w="100"/>
              <w:right w:type="dxa" w:w="100"/>
            </w:tcMar>
          </w:tcPr>
          <w:p>
            <w:r>
              <w:rPr>
                <w:b w:val="false"/>
                <w:bCs w:val="false"/>
                <w:i w:val="false"/>
                <w:iCs w:val="false"/>
                <w:sz w:val="20"/>
                <w:szCs w:val="20"/>
              </w:rPr>
              <w:t xml:space="preserve">Differentiates from motivational coaching. Reinforce in proposals and service copy.</w:t>
            </w:r>
          </w:p>
        </w:tc>
      </w:tr>
      <w:tr>
        <w:tc>
          <w:tcPr>
            <w:tcW w:type="dxa" w:w="2200"/>
            <w:tcMar>
              <w:top w:type="dxa" w:w="100"/>
              <w:left w:type="dxa" w:w="100"/>
              <w:bottom w:type="dxa" w:w="100"/>
              <w:right w:type="dxa" w:w="100"/>
            </w:tcMar>
          </w:tcPr>
          <w:p>
            <w:r>
              <w:rPr>
                <w:b w:val="false"/>
                <w:bCs w:val="false"/>
                <w:i w:val="false"/>
                <w:iCs w:val="false"/>
                <w:sz w:val="20"/>
                <w:szCs w:val="20"/>
              </w:rPr>
              <w:t xml:space="preserve">Measurable Results</w:t>
            </w:r>
          </w:p>
        </w:tc>
        <w:tc>
          <w:tcPr>
            <w:tcW w:type="dxa" w:w="3200"/>
            <w:tcMar>
              <w:top w:type="dxa" w:w="100"/>
              <w:left w:type="dxa" w:w="100"/>
              <w:bottom w:type="dxa" w:w="100"/>
              <w:right w:type="dxa" w:w="100"/>
            </w:tcMar>
          </w:tcPr>
          <w:p>
            <w:r>
              <w:rPr>
                <w:b w:val="false"/>
                <w:bCs w:val="false"/>
                <w:i/>
                <w:iCs/>
                <w:sz w:val="20"/>
                <w:szCs w:val="20"/>
              </w:rPr>
              <w:t xml:space="preserve">Naya can point to concrete business outcomes tied to working with Jackie. — Naya Troup</w:t>
            </w:r>
          </w:p>
        </w:tc>
        <w:tc>
          <w:tcPr>
            <w:tcW w:type="dxa" w:w="2800"/>
            <w:tcMar>
              <w:top w:type="dxa" w:w="100"/>
              <w:left w:type="dxa" w:w="100"/>
              <w:bottom w:type="dxa" w:w="100"/>
              <w:right w:type="dxa" w:w="100"/>
            </w:tcMar>
          </w:tcPr>
          <w:p>
            <w:r>
              <w:rPr>
                <w:b w:val="false"/>
                <w:bCs w:val="false"/>
                <w:i w:val="false"/>
                <w:iCs w:val="false"/>
                <w:sz w:val="20"/>
                <w:szCs w:val="20"/>
              </w:rPr>
              <w:t xml:space="preserve">Proof of ROI. Critical for proposal copy and case studies.</w:t>
            </w:r>
          </w:p>
        </w:tc>
      </w:tr>
      <w:tr>
        <w:tc>
          <w:tcPr>
            <w:tcW w:type="dxa" w:w="2200"/>
            <w:tcMar>
              <w:top w:type="dxa" w:w="100"/>
              <w:left w:type="dxa" w:w="100"/>
              <w:bottom w:type="dxa" w:w="100"/>
              <w:right w:type="dxa" w:w="100"/>
            </w:tcMar>
          </w:tcPr>
          <w:p>
            <w:r>
              <w:rPr>
                <w:b w:val="false"/>
                <w:bCs w:val="false"/>
                <w:i w:val="false"/>
                <w:iCs w:val="false"/>
                <w:sz w:val="20"/>
                <w:szCs w:val="20"/>
              </w:rPr>
              <w:t xml:space="preserve">Two Funnels of Knowledge</w:t>
            </w:r>
          </w:p>
        </w:tc>
        <w:tc>
          <w:tcPr>
            <w:tcW w:type="dxa" w:w="3200"/>
            <w:tcMar>
              <w:top w:type="dxa" w:w="100"/>
              <w:left w:type="dxa" w:w="100"/>
              <w:bottom w:type="dxa" w:w="100"/>
              <w:right w:type="dxa" w:w="100"/>
            </w:tcMar>
          </w:tcPr>
          <w:p>
            <w:r>
              <w:rPr>
                <w:b w:val="false"/>
                <w:bCs w:val="false"/>
                <w:i/>
                <w:iCs/>
                <w:sz w:val="20"/>
                <w:szCs w:val="20"/>
              </w:rPr>
              <w:t xml:space="preserve">“Jackie brings two funnels of knowledge — broad business expertise AND deep industry awareness.” — Naya Troup</w:t>
            </w:r>
          </w:p>
        </w:tc>
        <w:tc>
          <w:tcPr>
            <w:tcW w:type="dxa" w:w="2800"/>
            <w:tcMar>
              <w:top w:type="dxa" w:w="100"/>
              <w:left w:type="dxa" w:w="100"/>
              <w:bottom w:type="dxa" w:w="100"/>
              <w:right w:type="dxa" w:w="100"/>
            </w:tcMar>
          </w:tcPr>
          <w:p>
            <w:r>
              <w:rPr>
                <w:b w:val="false"/>
                <w:bCs w:val="false"/>
                <w:i w:val="false"/>
                <w:iCs w:val="false"/>
                <w:sz w:val="20"/>
                <w:szCs w:val="20"/>
              </w:rPr>
              <w:t xml:space="preserve">Unique metaphor for Jackie’s dual expertise. Candidate for About page or service description.</w:t>
            </w:r>
          </w:p>
        </w:tc>
      </w:tr>
      <w:tr>
        <w:tc>
          <w:tcPr>
            <w:tcW w:type="dxa" w:w="2200"/>
            <w:tcMar>
              <w:top w:type="dxa" w:w="100"/>
              <w:left w:type="dxa" w:w="100"/>
              <w:bottom w:type="dxa" w:w="100"/>
              <w:right w:type="dxa" w:w="100"/>
            </w:tcMar>
          </w:tcPr>
          <w:p>
            <w:r>
              <w:rPr>
                <w:b w:val="false"/>
                <w:bCs w:val="false"/>
                <w:i w:val="false"/>
                <w:iCs w:val="false"/>
                <w:sz w:val="20"/>
                <w:szCs w:val="20"/>
              </w:rPr>
              <w:t xml:space="preserve">Structural Clarity</w:t>
            </w:r>
          </w:p>
        </w:tc>
        <w:tc>
          <w:tcPr>
            <w:tcW w:type="dxa" w:w="3200"/>
            <w:tcMar>
              <w:top w:type="dxa" w:w="100"/>
              <w:left w:type="dxa" w:w="100"/>
              <w:bottom w:type="dxa" w:w="100"/>
              <w:right w:type="dxa" w:w="100"/>
            </w:tcMar>
          </w:tcPr>
          <w:p>
            <w:r>
              <w:rPr>
                <w:b w:val="false"/>
                <w:bCs w:val="false"/>
                <w:i/>
                <w:iCs/>
                <w:sz w:val="20"/>
                <w:szCs w:val="20"/>
              </w:rPr>
              <w:t xml:space="preserve">Key result areas gave Naya’s business a framework it was missing. — Naya Troup</w:t>
            </w:r>
          </w:p>
        </w:tc>
        <w:tc>
          <w:tcPr>
            <w:tcW w:type="dxa" w:w="2800"/>
            <w:tcMar>
              <w:top w:type="dxa" w:w="100"/>
              <w:left w:type="dxa" w:w="100"/>
              <w:bottom w:type="dxa" w:w="100"/>
              <w:right w:type="dxa" w:w="100"/>
            </w:tcMar>
          </w:tcPr>
          <w:p>
            <w:r>
              <w:rPr>
                <w:b w:val="false"/>
                <w:bCs w:val="false"/>
                <w:i w:val="false"/>
                <w:iCs w:val="false"/>
                <w:sz w:val="20"/>
                <w:szCs w:val="20"/>
              </w:rPr>
              <w:t xml:space="preserve">Methodology proof point. Links Jackie’s process to tangible clarity outcomes.</w:t>
            </w:r>
          </w:p>
        </w:tc>
      </w:tr>
    </w:tbl>
    <w:p>
      <w:pPr>
        <w:spacing w:after="160" w:before="160"/>
      </w:pPr>
      <w:r>
        <w:rPr>
          <w:i/>
          <w:iCs/>
          <w:sz w:val="20"/>
          <w:szCs w:val="20"/>
        </w:rPr>
        <w:t xml:space="preserve">Additional proof points will be added as interviews are completed.</w:t>
      </w:r>
    </w:p>
    <w:p>
      <w:pPr>
        <w:pStyle w:val="Heading1"/>
        <w:spacing w:after="160" w:before="360"/>
      </w:pPr>
      <w:r>
        <w:rPr>
          <w:b/>
          <w:bCs/>
          <w:color w:val="0D1F4E"/>
          <w:sz w:val="30"/>
          <w:szCs w:val="30"/>
        </w:rPr>
        <w:t xml:space="preserve">SECTION 3 — Cross-Interview Theme Tracker</w:t>
      </w:r>
    </w:p>
    <w:p>
      <w:pPr>
        <w:spacing w:after="160"/>
      </w:pPr>
      <w:r>
        <w:rPr>
          <w:sz w:val="22"/>
          <w:szCs w:val="22"/>
        </w:rPr>
        <w:t xml:space="preserve">Patterns identified across multiple client interviews. Themes are tracked by frequency and strength — the more clients who echo the same idea unprompted, the stronger the positioning signal. Updated as each new interview is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0D1F4E" w:val="clear"/>
            <w:tcMar>
              <w:top w:type="dxa" w:w="100"/>
              <w:left w:type="dxa" w:w="100"/>
              <w:bottom w:type="dxa" w:w="100"/>
              <w:right w:type="dxa" w:w="100"/>
            </w:tcMar>
          </w:tcPr>
          <w:p>
            <w:r>
              <w:rPr>
                <w:b/>
                <w:bCs/>
                <w:i w:val="false"/>
                <w:iCs w:val="false"/>
                <w:sz w:val="20"/>
                <w:szCs w:val="20"/>
              </w:rPr>
              <w:t xml:space="preserve">Theme</w:t>
            </w:r>
          </w:p>
        </w:tc>
        <w:tc>
          <w:tcPr>
            <w:tcW w:type="dxa" w:w="3600"/>
            <w:shd w:fill="0D1F4E" w:val="clear"/>
            <w:tcMar>
              <w:top w:type="dxa" w:w="100"/>
              <w:left w:type="dxa" w:w="100"/>
              <w:bottom w:type="dxa" w:w="100"/>
              <w:right w:type="dxa" w:w="100"/>
            </w:tcMar>
          </w:tcPr>
          <w:p>
            <w:r>
              <w:rPr>
                <w:b/>
                <w:bCs/>
                <w:i w:val="false"/>
                <w:iCs w:val="false"/>
                <w:sz w:val="20"/>
                <w:szCs w:val="20"/>
              </w:rPr>
              <w:t xml:space="preserve">Description</w:t>
            </w:r>
          </w:p>
        </w:tc>
        <w:tc>
          <w:tcPr>
            <w:tcW w:type="dxa" w:w="1800"/>
            <w:shd w:fill="0D1F4E" w:val="clear"/>
            <w:tcMar>
              <w:top w:type="dxa" w:w="100"/>
              <w:left w:type="dxa" w:w="100"/>
              <w:bottom w:type="dxa" w:w="100"/>
              <w:right w:type="dxa" w:w="100"/>
            </w:tcMar>
          </w:tcPr>
          <w:p>
            <w:r>
              <w:rPr>
                <w:b/>
                <w:bCs/>
                <w:i w:val="false"/>
                <w:iCs w:val="false"/>
                <w:sz w:val="20"/>
                <w:szCs w:val="20"/>
              </w:rPr>
              <w:t xml:space="preserve">Clients</w:t>
            </w:r>
          </w:p>
        </w:tc>
        <w:tc>
          <w:tcPr>
            <w:tcW w:type="dxa" w:w="1400"/>
            <w:shd w:fill="0D1F4E" w:val="clear"/>
            <w:tcMar>
              <w:top w:type="dxa" w:w="100"/>
              <w:left w:type="dxa" w:w="100"/>
              <w:bottom w:type="dxa" w:w="100"/>
              <w:right w:type="dxa" w:w="100"/>
            </w:tcMar>
          </w:tcPr>
          <w:p>
            <w:r>
              <w:rPr>
                <w:b/>
                <w:bCs/>
                <w:i w:val="false"/>
                <w:iCs w:val="false"/>
                <w:sz w:val="20"/>
                <w:szCs w:val="20"/>
              </w:rPr>
              <w:t xml:space="preserve">Signal</w:t>
            </w:r>
          </w:p>
        </w:tc>
      </w:tr>
      <w:tr>
        <w:tc>
          <w:tcPr>
            <w:tcW w:type="dxa" w:w="2200"/>
            <w:tcMar>
              <w:top w:type="dxa" w:w="100"/>
              <w:left w:type="dxa" w:w="100"/>
              <w:bottom w:type="dxa" w:w="100"/>
              <w:right w:type="dxa" w:w="100"/>
            </w:tcMar>
          </w:tcPr>
          <w:p>
            <w:r>
              <w:rPr>
                <w:b w:val="false"/>
                <w:bCs w:val="false"/>
                <w:i w:val="false"/>
                <w:iCs w:val="false"/>
                <w:sz w:val="20"/>
                <w:szCs w:val="20"/>
              </w:rPr>
              <w:t xml:space="preserve">Objectivity Gap</w:t>
            </w:r>
          </w:p>
        </w:tc>
        <w:tc>
          <w:tcPr>
            <w:tcW w:type="dxa" w:w="3600"/>
            <w:tcMar>
              <w:top w:type="dxa" w:w="100"/>
              <w:left w:type="dxa" w:w="100"/>
              <w:bottom w:type="dxa" w:w="100"/>
              <w:right w:type="dxa" w:w="100"/>
            </w:tcMar>
          </w:tcPr>
          <w:p>
            <w:r>
              <w:rPr>
                <w:b w:val="false"/>
                <w:bCs w:val="false"/>
                <w:i w:val="false"/>
                <w:iCs w:val="false"/>
                <w:sz w:val="20"/>
                <w:szCs w:val="20"/>
              </w:rPr>
              <w:t xml:space="preserve">Clients couldn’t see their own situation clearly until Jackie provided an outside view.</w:t>
            </w:r>
          </w:p>
        </w:tc>
        <w:tc>
          <w:tcPr>
            <w:tcW w:type="dxa" w:w="1800"/>
            <w:tcMar>
              <w:top w:type="dxa" w:w="100"/>
              <w:left w:type="dxa" w:w="100"/>
              <w:bottom w:type="dxa" w:w="100"/>
              <w:right w:type="dxa" w:w="100"/>
            </w:tcMar>
          </w:tcPr>
          <w:p>
            <w:r>
              <w:rPr>
                <w:b w:val="false"/>
                <w:bCs w:val="false"/>
                <w:i/>
                <w:iCs/>
                <w:sz w:val="20"/>
                <w:szCs w:val="20"/>
              </w:rPr>
              <w:t xml:space="preserve">Mark Chapman, Raffi Saroyan</w:t>
            </w:r>
          </w:p>
        </w:tc>
        <w:tc>
          <w:tcPr>
            <w:tcW w:type="dxa" w:w="1400"/>
            <w:tcMar>
              <w:top w:type="dxa" w:w="100"/>
              <w:left w:type="dxa" w:w="100"/>
              <w:bottom w:type="dxa" w:w="100"/>
              <w:right w:type="dxa" w:w="100"/>
            </w:tcMar>
          </w:tcPr>
          <w:p>
            <w:r>
              <w:rPr>
                <w:b/>
                <w:bCs/>
                <w:i/>
                <w:iCs/>
                <w:sz w:val="20"/>
                <w:szCs w:val="20"/>
              </w:rPr>
              <w:t xml:space="preserve">Strong</w:t>
            </w:r>
          </w:p>
        </w:tc>
      </w:tr>
      <w:tr>
        <w:tc>
          <w:tcPr>
            <w:tcW w:type="dxa" w:w="2200"/>
            <w:tcMar>
              <w:top w:type="dxa" w:w="100"/>
              <w:left w:type="dxa" w:w="100"/>
              <w:bottom w:type="dxa" w:w="100"/>
              <w:right w:type="dxa" w:w="100"/>
            </w:tcMar>
          </w:tcPr>
          <w:p>
            <w:r>
              <w:rPr>
                <w:b w:val="false"/>
                <w:bCs w:val="false"/>
                <w:i w:val="false"/>
                <w:iCs w:val="false"/>
                <w:sz w:val="20"/>
                <w:szCs w:val="20"/>
              </w:rPr>
              <w:t xml:space="preserve">Anti-Program</w:t>
            </w:r>
          </w:p>
        </w:tc>
        <w:tc>
          <w:tcPr>
            <w:tcW w:type="dxa" w:w="3600"/>
            <w:tcMar>
              <w:top w:type="dxa" w:w="100"/>
              <w:left w:type="dxa" w:w="100"/>
              <w:bottom w:type="dxa" w:w="100"/>
              <w:right w:type="dxa" w:w="100"/>
            </w:tcMar>
          </w:tcPr>
          <w:p>
            <w:r>
              <w:rPr>
                <w:b w:val="false"/>
                <w:bCs w:val="false"/>
                <w:i w:val="false"/>
                <w:iCs w:val="false"/>
                <w:sz w:val="20"/>
                <w:szCs w:val="20"/>
              </w:rPr>
              <w:t xml:space="preserve">Clients actively valued the absence of a packaged system — personalization over prescription.</w:t>
            </w:r>
          </w:p>
        </w:tc>
        <w:tc>
          <w:tcPr>
            <w:tcW w:type="dxa" w:w="1800"/>
            <w:tcMar>
              <w:top w:type="dxa" w:w="100"/>
              <w:left w:type="dxa" w:w="100"/>
              <w:bottom w:type="dxa" w:w="100"/>
              <w:right w:type="dxa" w:w="100"/>
            </w:tcMar>
          </w:tcPr>
          <w:p>
            <w:r>
              <w:rPr>
                <w:b w:val="false"/>
                <w:bCs w:val="false"/>
                <w:i/>
                <w:iCs/>
                <w:sz w:val="20"/>
                <w:szCs w:val="20"/>
              </w:rPr>
              <w:t xml:space="preserve">Mark Chapman</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Fear → Confidence</w:t>
            </w:r>
          </w:p>
        </w:tc>
        <w:tc>
          <w:tcPr>
            <w:tcW w:type="dxa" w:w="3600"/>
            <w:tcMar>
              <w:top w:type="dxa" w:w="100"/>
              <w:left w:type="dxa" w:w="100"/>
              <w:bottom w:type="dxa" w:w="100"/>
              <w:right w:type="dxa" w:w="100"/>
            </w:tcMar>
          </w:tcPr>
          <w:p>
            <w:r>
              <w:rPr>
                <w:b w:val="false"/>
                <w:bCs w:val="false"/>
                <w:i w:val="false"/>
                <w:iCs w:val="false"/>
                <w:sz w:val="20"/>
                <w:szCs w:val="20"/>
              </w:rPr>
              <w:t xml:space="preserve">Jackie’s experience and wisdom converted decision-making fear into confidence.</w:t>
            </w:r>
          </w:p>
        </w:tc>
        <w:tc>
          <w:tcPr>
            <w:tcW w:type="dxa" w:w="1800"/>
            <w:tcMar>
              <w:top w:type="dxa" w:w="100"/>
              <w:left w:type="dxa" w:w="100"/>
              <w:bottom w:type="dxa" w:w="100"/>
              <w:right w:type="dxa" w:w="100"/>
            </w:tcMar>
          </w:tcPr>
          <w:p>
            <w:r>
              <w:rPr>
                <w:b w:val="false"/>
                <w:bCs w:val="false"/>
                <w:i/>
                <w:iCs/>
                <w:sz w:val="20"/>
                <w:szCs w:val="20"/>
              </w:rPr>
              <w:t xml:space="preserve">Mark Chapman</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Human Peer Dynamic</w:t>
            </w:r>
          </w:p>
        </w:tc>
        <w:tc>
          <w:tcPr>
            <w:tcW w:type="dxa" w:w="3600"/>
            <w:tcMar>
              <w:top w:type="dxa" w:w="100"/>
              <w:left w:type="dxa" w:w="100"/>
              <w:bottom w:type="dxa" w:w="100"/>
              <w:right w:type="dxa" w:w="100"/>
            </w:tcMar>
          </w:tcPr>
          <w:p>
            <w:r>
              <w:rPr>
                <w:b w:val="false"/>
                <w:bCs w:val="false"/>
                <w:i w:val="false"/>
                <w:iCs w:val="false"/>
                <w:sz w:val="20"/>
                <w:szCs w:val="20"/>
              </w:rPr>
              <w:t xml:space="preserve">Clients related to Jackie as a fellow business owner — a peer who shares struggles, not a detached expert.</w:t>
            </w:r>
          </w:p>
        </w:tc>
        <w:tc>
          <w:tcPr>
            <w:tcW w:type="dxa" w:w="1800"/>
            <w:tcMar>
              <w:top w:type="dxa" w:w="100"/>
              <w:left w:type="dxa" w:w="100"/>
              <w:bottom w:type="dxa" w:w="100"/>
              <w:right w:type="dxa" w:w="100"/>
            </w:tcMar>
          </w:tcPr>
          <w:p>
            <w:r>
              <w:rPr>
                <w:b w:val="false"/>
                <w:bCs w:val="false"/>
                <w:i/>
                <w:iCs/>
                <w:sz w:val="20"/>
                <w:szCs w:val="20"/>
              </w:rPr>
              <w:t xml:space="preserve">Mark Chapman, Christina Carlson, Anne Laguzza</w:t>
            </w:r>
          </w:p>
        </w:tc>
        <w:tc>
          <w:tcPr>
            <w:tcW w:type="dxa" w:w="1400"/>
            <w:tcMar>
              <w:top w:type="dxa" w:w="100"/>
              <w:left w:type="dxa" w:w="100"/>
              <w:bottom w:type="dxa" w:w="100"/>
              <w:right w:type="dxa" w:w="100"/>
            </w:tcMar>
          </w:tcPr>
          <w:p>
            <w:r>
              <w:rPr>
                <w:b/>
                <w:bCs/>
                <w:i/>
                <w:iCs/>
                <w:sz w:val="20"/>
                <w:szCs w:val="20"/>
              </w:rPr>
              <w:t xml:space="preserve">Strong</w:t>
            </w:r>
          </w:p>
        </w:tc>
      </w:tr>
      <w:tr>
        <w:tc>
          <w:tcPr>
            <w:tcW w:type="dxa" w:w="2200"/>
            <w:tcMar>
              <w:top w:type="dxa" w:w="100"/>
              <w:left w:type="dxa" w:w="100"/>
              <w:bottom w:type="dxa" w:w="100"/>
              <w:right w:type="dxa" w:w="100"/>
            </w:tcMar>
          </w:tcPr>
          <w:p>
            <w:r>
              <w:rPr>
                <w:b w:val="false"/>
                <w:bCs w:val="false"/>
                <w:i w:val="false"/>
                <w:iCs w:val="false"/>
                <w:sz w:val="20"/>
                <w:szCs w:val="20"/>
              </w:rPr>
              <w:t xml:space="preserve">Trust Through Honesty</w:t>
            </w:r>
          </w:p>
        </w:tc>
        <w:tc>
          <w:tcPr>
            <w:tcW w:type="dxa" w:w="3600"/>
            <w:tcMar>
              <w:top w:type="dxa" w:w="100"/>
              <w:left w:type="dxa" w:w="100"/>
              <w:bottom w:type="dxa" w:w="100"/>
              <w:right w:type="dxa" w:w="100"/>
            </w:tcMar>
          </w:tcPr>
          <w:p>
            <w:r>
              <w:rPr>
                <w:b w:val="false"/>
                <w:bCs w:val="false"/>
                <w:i w:val="false"/>
                <w:iCs w:val="false"/>
                <w:sz w:val="20"/>
                <w:szCs w:val="20"/>
              </w:rPr>
              <w:t xml:space="preserve">Intellectual honesty (admitting limits, finding resources) built lasting trust.</w:t>
            </w:r>
          </w:p>
        </w:tc>
        <w:tc>
          <w:tcPr>
            <w:tcW w:type="dxa" w:w="1800"/>
            <w:tcMar>
              <w:top w:type="dxa" w:w="100"/>
              <w:left w:type="dxa" w:w="100"/>
              <w:bottom w:type="dxa" w:w="100"/>
              <w:right w:type="dxa" w:w="100"/>
            </w:tcMar>
          </w:tcPr>
          <w:p>
            <w:r>
              <w:rPr>
                <w:b w:val="false"/>
                <w:bCs w:val="false"/>
                <w:i/>
                <w:iCs/>
                <w:sz w:val="20"/>
                <w:szCs w:val="20"/>
              </w:rPr>
              <w:t xml:space="preserve">Mark Chapman</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Emotional Intelligence</w:t>
            </w:r>
          </w:p>
        </w:tc>
        <w:tc>
          <w:tcPr>
            <w:tcW w:type="dxa" w:w="3600"/>
            <w:tcMar>
              <w:top w:type="dxa" w:w="100"/>
              <w:left w:type="dxa" w:w="100"/>
              <w:bottom w:type="dxa" w:w="100"/>
              <w:right w:type="dxa" w:w="100"/>
            </w:tcMar>
          </w:tcPr>
          <w:p>
            <w:r>
              <w:rPr>
                <w:b w:val="false"/>
                <w:bCs w:val="false"/>
                <w:i w:val="false"/>
                <w:iCs w:val="false"/>
                <w:sz w:val="20"/>
                <w:szCs w:val="20"/>
              </w:rPr>
              <w:t xml:space="preserve">Holds space for emotion, recognizes it as normal, and knows when to move forward.</w:t>
            </w:r>
          </w:p>
        </w:tc>
        <w:tc>
          <w:tcPr>
            <w:tcW w:type="dxa" w:w="1800"/>
            <w:tcMar>
              <w:top w:type="dxa" w:w="100"/>
              <w:left w:type="dxa" w:w="100"/>
              <w:bottom w:type="dxa" w:w="100"/>
              <w:right w:type="dxa" w:w="100"/>
            </w:tcMar>
          </w:tcPr>
          <w:p>
            <w:r>
              <w:rPr>
                <w:b w:val="false"/>
                <w:bCs w:val="false"/>
                <w:i/>
                <w:iCs/>
                <w:sz w:val="20"/>
                <w:szCs w:val="20"/>
              </w:rPr>
              <w:t xml:space="preserve">Christina Carlson</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Entrepreneur/Leader Distinction</w:t>
            </w:r>
          </w:p>
        </w:tc>
        <w:tc>
          <w:tcPr>
            <w:tcW w:type="dxa" w:w="3600"/>
            <w:tcMar>
              <w:top w:type="dxa" w:w="100"/>
              <w:left w:type="dxa" w:w="100"/>
              <w:bottom w:type="dxa" w:w="100"/>
              <w:right w:type="dxa" w:w="100"/>
            </w:tcMar>
          </w:tcPr>
          <w:p>
            <w:r>
              <w:rPr>
                <w:b w:val="false"/>
                <w:bCs w:val="false"/>
                <w:i w:val="false"/>
                <w:iCs w:val="false"/>
                <w:sz w:val="20"/>
                <w:szCs w:val="20"/>
              </w:rPr>
              <w:t xml:space="preserve">Jackie understands that entrepreneurs can’t put things down — the stakes are personal and immediate in ways leadership frameworks miss.</w:t>
            </w:r>
          </w:p>
        </w:tc>
        <w:tc>
          <w:tcPr>
            <w:tcW w:type="dxa" w:w="1800"/>
            <w:tcMar>
              <w:top w:type="dxa" w:w="100"/>
              <w:left w:type="dxa" w:w="100"/>
              <w:bottom w:type="dxa" w:w="100"/>
              <w:right w:type="dxa" w:w="100"/>
            </w:tcMar>
          </w:tcPr>
          <w:p>
            <w:r>
              <w:rPr>
                <w:b w:val="false"/>
                <w:bCs w:val="false"/>
                <w:i/>
                <w:iCs/>
                <w:sz w:val="20"/>
                <w:szCs w:val="20"/>
              </w:rPr>
              <w:t xml:space="preserve">Christina Carlson</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Presence &amp; Listening</w:t>
            </w:r>
          </w:p>
        </w:tc>
        <w:tc>
          <w:tcPr>
            <w:tcW w:type="dxa" w:w="3600"/>
            <w:tcMar>
              <w:top w:type="dxa" w:w="100"/>
              <w:left w:type="dxa" w:w="100"/>
              <w:bottom w:type="dxa" w:w="100"/>
              <w:right w:type="dxa" w:w="100"/>
            </w:tcMar>
          </w:tcPr>
          <w:p>
            <w:r>
              <w:rPr>
                <w:b w:val="false"/>
                <w:bCs w:val="false"/>
                <w:i w:val="false"/>
                <w:iCs w:val="false"/>
                <w:sz w:val="20"/>
                <w:szCs w:val="20"/>
              </w:rPr>
              <w:t xml:space="preserve">Clients consistently feel genuinely heard, seen, and present — not processed.</w:t>
            </w:r>
          </w:p>
        </w:tc>
        <w:tc>
          <w:tcPr>
            <w:tcW w:type="dxa" w:w="1800"/>
            <w:tcMar>
              <w:top w:type="dxa" w:w="100"/>
              <w:left w:type="dxa" w:w="100"/>
              <w:bottom w:type="dxa" w:w="100"/>
              <w:right w:type="dxa" w:w="100"/>
            </w:tcMar>
          </w:tcPr>
          <w:p>
            <w:r>
              <w:rPr>
                <w:b w:val="false"/>
                <w:bCs w:val="false"/>
                <w:i/>
                <w:iCs/>
                <w:sz w:val="20"/>
                <w:szCs w:val="20"/>
              </w:rPr>
              <w:t xml:space="preserve">Mark Chapman, Christina Carlson, Laura Labovich</w:t>
            </w:r>
          </w:p>
        </w:tc>
        <w:tc>
          <w:tcPr>
            <w:tcW w:type="dxa" w:w="1400"/>
            <w:tcMar>
              <w:top w:type="dxa" w:w="100"/>
              <w:left w:type="dxa" w:w="100"/>
              <w:bottom w:type="dxa" w:w="100"/>
              <w:right w:type="dxa" w:w="100"/>
            </w:tcMar>
          </w:tcPr>
          <w:p>
            <w:r>
              <w:rPr>
                <w:b/>
                <w:bCs/>
                <w:i/>
                <w:iCs/>
                <w:sz w:val="20"/>
                <w:szCs w:val="20"/>
              </w:rPr>
              <w:t xml:space="preserve">Strong</w:t>
            </w:r>
          </w:p>
        </w:tc>
      </w:tr>
      <w:tr>
        <w:tc>
          <w:tcPr>
            <w:tcW w:type="dxa" w:w="2200"/>
            <w:tcMar>
              <w:top w:type="dxa" w:w="100"/>
              <w:left w:type="dxa" w:w="100"/>
              <w:bottom w:type="dxa" w:w="100"/>
              <w:right w:type="dxa" w:w="100"/>
            </w:tcMar>
          </w:tcPr>
          <w:p>
            <w:r>
              <w:rPr>
                <w:b w:val="false"/>
                <w:bCs w:val="false"/>
                <w:i w:val="false"/>
                <w:iCs w:val="false"/>
                <w:sz w:val="20"/>
                <w:szCs w:val="20"/>
              </w:rPr>
              <w:t xml:space="preserve">Warmth as Strategic Differentiator</w:t>
            </w:r>
          </w:p>
        </w:tc>
        <w:tc>
          <w:tcPr>
            <w:tcW w:type="dxa" w:w="3600"/>
            <w:tcMar>
              <w:top w:type="dxa" w:w="100"/>
              <w:left w:type="dxa" w:w="100"/>
              <w:bottom w:type="dxa" w:w="100"/>
              <w:right w:type="dxa" w:w="100"/>
            </w:tcMar>
          </w:tcPr>
          <w:p>
            <w:r>
              <w:rPr>
                <w:b w:val="false"/>
                <w:bCs w:val="false"/>
                <w:i w:val="false"/>
                <w:iCs w:val="false"/>
                <w:sz w:val="20"/>
                <w:szCs w:val="20"/>
              </w:rPr>
              <w:t xml:space="preserve">Warmth surfaces repeatedly as a functional differentiator, not a soft trait.</w:t>
            </w:r>
          </w:p>
        </w:tc>
        <w:tc>
          <w:tcPr>
            <w:tcW w:type="dxa" w:w="1800"/>
            <w:tcMar>
              <w:top w:type="dxa" w:w="100"/>
              <w:left w:type="dxa" w:w="100"/>
              <w:bottom w:type="dxa" w:w="100"/>
              <w:right w:type="dxa" w:w="100"/>
            </w:tcMar>
          </w:tcPr>
          <w:p>
            <w:r>
              <w:rPr>
                <w:b w:val="false"/>
                <w:bCs w:val="false"/>
                <w:i/>
                <w:iCs/>
                <w:sz w:val="20"/>
                <w:szCs w:val="20"/>
              </w:rPr>
              <w:t xml:space="preserve">Laura Labovich</w:t>
            </w:r>
          </w:p>
        </w:tc>
        <w:tc>
          <w:tcPr>
            <w:tcW w:type="dxa" w:w="1400"/>
            <w:tcMar>
              <w:top w:type="dxa" w:w="100"/>
              <w:left w:type="dxa" w:w="100"/>
              <w:bottom w:type="dxa" w:w="100"/>
              <w:right w:type="dxa" w:w="100"/>
            </w:tcMar>
          </w:tcPr>
          <w:p>
            <w:r>
              <w:rPr>
                <w:b/>
                <w:bCs/>
                <w:i/>
                <w:iCs/>
                <w:sz w:val="20"/>
                <w:szCs w:val="20"/>
              </w:rPr>
              <w:t xml:space="preserve">Strong</w:t>
            </w:r>
          </w:p>
        </w:tc>
      </w:tr>
      <w:tr>
        <w:tc>
          <w:tcPr>
            <w:tcW w:type="dxa" w:w="2200"/>
            <w:tcMar>
              <w:top w:type="dxa" w:w="100"/>
              <w:left w:type="dxa" w:w="100"/>
              <w:bottom w:type="dxa" w:w="100"/>
              <w:right w:type="dxa" w:w="100"/>
            </w:tcMar>
          </w:tcPr>
          <w:p>
            <w:r>
              <w:rPr>
                <w:b w:val="false"/>
                <w:bCs w:val="false"/>
                <w:i w:val="false"/>
                <w:iCs w:val="false"/>
                <w:sz w:val="20"/>
                <w:szCs w:val="20"/>
              </w:rPr>
              <w:t xml:space="preserve">The Way She Makes People Feel</w:t>
            </w:r>
          </w:p>
        </w:tc>
        <w:tc>
          <w:tcPr>
            <w:tcW w:type="dxa" w:w="3600"/>
            <w:tcMar>
              <w:top w:type="dxa" w:w="100"/>
              <w:left w:type="dxa" w:w="100"/>
              <w:bottom w:type="dxa" w:w="100"/>
              <w:right w:type="dxa" w:w="100"/>
            </w:tcMar>
          </w:tcPr>
          <w:p>
            <w:r>
              <w:rPr>
                <w:b w:val="false"/>
                <w:bCs w:val="false"/>
                <w:i w:val="false"/>
                <w:iCs w:val="false"/>
                <w:sz w:val="20"/>
                <w:szCs w:val="20"/>
              </w:rPr>
              <w:t xml:space="preserve">Clients independently report leaving sessions feeling better — emotionally and strategically.</w:t>
            </w:r>
          </w:p>
        </w:tc>
        <w:tc>
          <w:tcPr>
            <w:tcW w:type="dxa" w:w="1800"/>
            <w:tcMar>
              <w:top w:type="dxa" w:w="100"/>
              <w:left w:type="dxa" w:w="100"/>
              <w:bottom w:type="dxa" w:w="100"/>
              <w:right w:type="dxa" w:w="100"/>
            </w:tcMar>
          </w:tcPr>
          <w:p>
            <w:r>
              <w:rPr>
                <w:b w:val="false"/>
                <w:bCs w:val="false"/>
                <w:i/>
                <w:iCs/>
                <w:sz w:val="20"/>
                <w:szCs w:val="20"/>
              </w:rPr>
              <w:t xml:space="preserve">Mark Chapman, Laura Labovich</w:t>
            </w:r>
          </w:p>
        </w:tc>
        <w:tc>
          <w:tcPr>
            <w:tcW w:type="dxa" w:w="1400"/>
            <w:tcMar>
              <w:top w:type="dxa" w:w="100"/>
              <w:left w:type="dxa" w:w="100"/>
              <w:bottom w:type="dxa" w:w="100"/>
              <w:right w:type="dxa" w:w="100"/>
            </w:tcMar>
          </w:tcPr>
          <w:p>
            <w:r>
              <w:rPr>
                <w:b/>
                <w:bCs/>
                <w:i/>
                <w:iCs/>
                <w:sz w:val="20"/>
                <w:szCs w:val="20"/>
              </w:rPr>
              <w:t xml:space="preserve">Strong</w:t>
            </w:r>
          </w:p>
        </w:tc>
      </w:tr>
      <w:tr>
        <w:tc>
          <w:tcPr>
            <w:tcW w:type="dxa" w:w="2200"/>
            <w:tcMar>
              <w:top w:type="dxa" w:w="100"/>
              <w:left w:type="dxa" w:w="100"/>
              <w:bottom w:type="dxa" w:w="100"/>
              <w:right w:type="dxa" w:w="100"/>
            </w:tcMar>
          </w:tcPr>
          <w:p>
            <w:r>
              <w:rPr>
                <w:b w:val="false"/>
                <w:bCs w:val="false"/>
                <w:i w:val="false"/>
                <w:iCs w:val="false"/>
                <w:sz w:val="20"/>
                <w:szCs w:val="20"/>
              </w:rPr>
              <w:t xml:space="preserve">Experience Reveals the Difference</w:t>
            </w:r>
          </w:p>
        </w:tc>
        <w:tc>
          <w:tcPr>
            <w:tcW w:type="dxa" w:w="3600"/>
            <w:tcMar>
              <w:top w:type="dxa" w:w="100"/>
              <w:left w:type="dxa" w:w="100"/>
              <w:bottom w:type="dxa" w:w="100"/>
              <w:right w:type="dxa" w:w="100"/>
            </w:tcMar>
          </w:tcPr>
          <w:p>
            <w:r>
              <w:rPr>
                <w:b w:val="false"/>
                <w:bCs w:val="false"/>
                <w:i w:val="false"/>
                <w:iCs w:val="false"/>
                <w:sz w:val="20"/>
                <w:szCs w:val="20"/>
              </w:rPr>
              <w:t xml:space="preserve">Jackie’s full value only becomes clear once inside the work — proof is experiential, not descriptive.</w:t>
            </w:r>
          </w:p>
        </w:tc>
        <w:tc>
          <w:tcPr>
            <w:tcW w:type="dxa" w:w="1800"/>
            <w:tcMar>
              <w:top w:type="dxa" w:w="100"/>
              <w:left w:type="dxa" w:w="100"/>
              <w:bottom w:type="dxa" w:w="100"/>
              <w:right w:type="dxa" w:w="100"/>
            </w:tcMar>
          </w:tcPr>
          <w:p>
            <w:r>
              <w:rPr>
                <w:b w:val="false"/>
                <w:bCs w:val="false"/>
                <w:i/>
                <w:iCs/>
                <w:sz w:val="20"/>
                <w:szCs w:val="20"/>
              </w:rPr>
              <w:t xml:space="preserve">Sandra Martinez, Laura Labovich</w:t>
            </w:r>
          </w:p>
        </w:tc>
        <w:tc>
          <w:tcPr>
            <w:tcW w:type="dxa" w:w="1400"/>
            <w:tcMar>
              <w:top w:type="dxa" w:w="100"/>
              <w:left w:type="dxa" w:w="100"/>
              <w:bottom w:type="dxa" w:w="100"/>
              <w:right w:type="dxa" w:w="100"/>
            </w:tcMar>
          </w:tcPr>
          <w:p>
            <w:r>
              <w:rPr>
                <w:b/>
                <w:bCs/>
                <w:i/>
                <w:iCs/>
                <w:sz w:val="20"/>
                <w:szCs w:val="20"/>
              </w:rPr>
              <w:t xml:space="preserve">Strong</w:t>
            </w:r>
          </w:p>
        </w:tc>
      </w:tr>
      <w:tr>
        <w:tc>
          <w:tcPr>
            <w:tcW w:type="dxa" w:w="2200"/>
            <w:tcMar>
              <w:top w:type="dxa" w:w="100"/>
              <w:left w:type="dxa" w:w="100"/>
              <w:bottom w:type="dxa" w:w="100"/>
              <w:right w:type="dxa" w:w="100"/>
            </w:tcMar>
          </w:tcPr>
          <w:p>
            <w:r>
              <w:rPr>
                <w:b w:val="false"/>
                <w:bCs w:val="false"/>
                <w:i w:val="false"/>
                <w:iCs w:val="false"/>
                <w:sz w:val="20"/>
                <w:szCs w:val="20"/>
              </w:rPr>
              <w:t xml:space="preserve">Genuine / Anti-Grift</w:t>
            </w:r>
          </w:p>
        </w:tc>
        <w:tc>
          <w:tcPr>
            <w:tcW w:type="dxa" w:w="3600"/>
            <w:tcMar>
              <w:top w:type="dxa" w:w="100"/>
              <w:left w:type="dxa" w:w="100"/>
              <w:bottom w:type="dxa" w:w="100"/>
              <w:right w:type="dxa" w:w="100"/>
            </w:tcMar>
          </w:tcPr>
          <w:p>
            <w:r>
              <w:rPr>
                <w:b w:val="false"/>
                <w:bCs w:val="false"/>
                <w:i w:val="false"/>
                <w:iCs w:val="false"/>
                <w:sz w:val="20"/>
                <w:szCs w:val="20"/>
              </w:rPr>
              <w:t xml:space="preserve">In a marketplace crowded with self-proclaimed experts and fads, Jackie is experienced as authentic, grounded, and trustworthy.</w:t>
            </w:r>
          </w:p>
        </w:tc>
        <w:tc>
          <w:tcPr>
            <w:tcW w:type="dxa" w:w="1800"/>
            <w:tcMar>
              <w:top w:type="dxa" w:w="100"/>
              <w:left w:type="dxa" w:w="100"/>
              <w:bottom w:type="dxa" w:w="100"/>
              <w:right w:type="dxa" w:w="100"/>
            </w:tcMar>
          </w:tcPr>
          <w:p>
            <w:r>
              <w:rPr>
                <w:b w:val="false"/>
                <w:bCs w:val="false"/>
                <w:i/>
                <w:iCs/>
                <w:sz w:val="20"/>
                <w:szCs w:val="20"/>
              </w:rPr>
              <w:t xml:space="preserve">Anne Laguzza</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Fad-Free / Relevant</w:t>
            </w:r>
          </w:p>
        </w:tc>
        <w:tc>
          <w:tcPr>
            <w:tcW w:type="dxa" w:w="3600"/>
            <w:tcMar>
              <w:top w:type="dxa" w:w="100"/>
              <w:left w:type="dxa" w:w="100"/>
              <w:bottom w:type="dxa" w:w="100"/>
              <w:right w:type="dxa" w:w="100"/>
            </w:tcMar>
          </w:tcPr>
          <w:p>
            <w:r>
              <w:rPr>
                <w:b w:val="false"/>
                <w:bCs w:val="false"/>
                <w:i w:val="false"/>
                <w:iCs w:val="false"/>
                <w:sz w:val="20"/>
                <w:szCs w:val="20"/>
              </w:rPr>
              <w:t xml:space="preserve">Jackie stays current without chasing trends — clients value her discernment about what actually matters.</w:t>
            </w:r>
          </w:p>
        </w:tc>
        <w:tc>
          <w:tcPr>
            <w:tcW w:type="dxa" w:w="1800"/>
            <w:tcMar>
              <w:top w:type="dxa" w:w="100"/>
              <w:left w:type="dxa" w:w="100"/>
              <w:bottom w:type="dxa" w:w="100"/>
              <w:right w:type="dxa" w:w="100"/>
            </w:tcMar>
          </w:tcPr>
          <w:p>
            <w:r>
              <w:rPr>
                <w:b w:val="false"/>
                <w:bCs w:val="false"/>
                <w:i/>
                <w:iCs/>
                <w:sz w:val="20"/>
                <w:szCs w:val="20"/>
              </w:rPr>
              <w:t xml:space="preserve">Anne Laguzza</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Iterates on Her Own Business</w:t>
            </w:r>
          </w:p>
        </w:tc>
        <w:tc>
          <w:tcPr>
            <w:tcW w:type="dxa" w:w="3600"/>
            <w:tcMar>
              <w:top w:type="dxa" w:w="100"/>
              <w:left w:type="dxa" w:w="100"/>
              <w:bottom w:type="dxa" w:w="100"/>
              <w:right w:type="dxa" w:w="100"/>
            </w:tcMar>
          </w:tcPr>
          <w:p>
            <w:r>
              <w:rPr>
                <w:b w:val="false"/>
                <w:bCs w:val="false"/>
                <w:i w:val="false"/>
                <w:iCs w:val="false"/>
                <w:sz w:val="20"/>
                <w:szCs w:val="20"/>
              </w:rPr>
              <w:t xml:space="preserve">Jackie applies her own coaching principles to Synnovatia — she models the behavior she teaches.</w:t>
            </w:r>
          </w:p>
        </w:tc>
        <w:tc>
          <w:tcPr>
            <w:tcW w:type="dxa" w:w="1800"/>
            <w:tcMar>
              <w:top w:type="dxa" w:w="100"/>
              <w:left w:type="dxa" w:w="100"/>
              <w:bottom w:type="dxa" w:w="100"/>
              <w:right w:type="dxa" w:w="100"/>
            </w:tcMar>
          </w:tcPr>
          <w:p>
            <w:r>
              <w:rPr>
                <w:b w:val="false"/>
                <w:bCs w:val="false"/>
                <w:i/>
                <w:iCs/>
                <w:sz w:val="20"/>
                <w:szCs w:val="20"/>
              </w:rPr>
              <w:t xml:space="preserve">Anne Laguzza</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Clarity + Achievability</w:t>
            </w:r>
          </w:p>
        </w:tc>
        <w:tc>
          <w:tcPr>
            <w:tcW w:type="dxa" w:w="3600"/>
            <w:tcMar>
              <w:top w:type="dxa" w:w="100"/>
              <w:left w:type="dxa" w:w="100"/>
              <w:bottom w:type="dxa" w:w="100"/>
              <w:right w:type="dxa" w:w="100"/>
            </w:tcMar>
          </w:tcPr>
          <w:p>
            <w:r>
              <w:rPr>
                <w:b w:val="false"/>
                <w:bCs w:val="false"/>
                <w:i w:val="false"/>
                <w:iCs w:val="false"/>
                <w:sz w:val="20"/>
                <w:szCs w:val="20"/>
              </w:rPr>
              <w:t xml:space="preserve">Jackie makes complex or daunting adjustments feel concrete and attainable — not just aspirational.</w:t>
            </w:r>
          </w:p>
        </w:tc>
        <w:tc>
          <w:tcPr>
            <w:tcW w:type="dxa" w:w="1800"/>
            <w:tcMar>
              <w:top w:type="dxa" w:w="100"/>
              <w:left w:type="dxa" w:w="100"/>
              <w:bottom w:type="dxa" w:w="100"/>
              <w:right w:type="dxa" w:w="100"/>
            </w:tcMar>
          </w:tcPr>
          <w:p>
            <w:r>
              <w:rPr>
                <w:b w:val="false"/>
                <w:bCs w:val="false"/>
                <w:i/>
                <w:iCs/>
                <w:sz w:val="20"/>
                <w:szCs w:val="20"/>
              </w:rPr>
              <w:t xml:space="preserve">Anne Laguzza</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Solopreneur Advisory Scarcity</w:t>
            </w:r>
          </w:p>
        </w:tc>
        <w:tc>
          <w:tcPr>
            <w:tcW w:type="dxa" w:w="3600"/>
            <w:tcMar>
              <w:top w:type="dxa" w:w="100"/>
              <w:left w:type="dxa" w:w="100"/>
              <w:bottom w:type="dxa" w:w="100"/>
              <w:right w:type="dxa" w:w="100"/>
            </w:tcMar>
          </w:tcPr>
          <w:p>
            <w:r>
              <w:rPr>
                <w:b w:val="false"/>
                <w:bCs w:val="false"/>
                <w:i w:val="false"/>
                <w:iCs w:val="false"/>
                <w:sz w:val="20"/>
                <w:szCs w:val="20"/>
              </w:rPr>
              <w:t xml:space="preserve">Clients note there is no one else doing what Jackie does at this level for solopreneurs.</w:t>
            </w:r>
          </w:p>
        </w:tc>
        <w:tc>
          <w:tcPr>
            <w:tcW w:type="dxa" w:w="1800"/>
            <w:tcMar>
              <w:top w:type="dxa" w:w="100"/>
              <w:left w:type="dxa" w:w="100"/>
              <w:bottom w:type="dxa" w:w="100"/>
              <w:right w:type="dxa" w:w="100"/>
            </w:tcMar>
          </w:tcPr>
          <w:p>
            <w:r>
              <w:rPr>
                <w:b w:val="false"/>
                <w:bCs w:val="false"/>
                <w:i/>
                <w:iCs/>
                <w:sz w:val="20"/>
                <w:szCs w:val="20"/>
              </w:rPr>
              <w:t xml:space="preserve">Raffi Saroyan</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Practical Collaboration</w:t>
            </w:r>
          </w:p>
        </w:tc>
        <w:tc>
          <w:tcPr>
            <w:tcW w:type="dxa" w:w="3600"/>
            <w:tcMar>
              <w:top w:type="dxa" w:w="100"/>
              <w:left w:type="dxa" w:w="100"/>
              <w:bottom w:type="dxa" w:w="100"/>
              <w:right w:type="dxa" w:w="100"/>
            </w:tcMar>
          </w:tcPr>
          <w:p>
            <w:r>
              <w:rPr>
                <w:b w:val="false"/>
                <w:bCs w:val="false"/>
                <w:i w:val="false"/>
                <w:iCs w:val="false"/>
                <w:sz w:val="20"/>
                <w:szCs w:val="20"/>
              </w:rPr>
              <w:t xml:space="preserve">Jackie is described as rolling up her sleeves — not a cheerleader, a collaborator.</w:t>
            </w:r>
          </w:p>
        </w:tc>
        <w:tc>
          <w:tcPr>
            <w:tcW w:type="dxa" w:w="1800"/>
            <w:tcMar>
              <w:top w:type="dxa" w:w="100"/>
              <w:left w:type="dxa" w:w="100"/>
              <w:bottom w:type="dxa" w:w="100"/>
              <w:right w:type="dxa" w:w="100"/>
            </w:tcMar>
          </w:tcPr>
          <w:p>
            <w:r>
              <w:rPr>
                <w:b w:val="false"/>
                <w:bCs w:val="false"/>
                <w:i/>
                <w:iCs/>
                <w:sz w:val="20"/>
                <w:szCs w:val="20"/>
              </w:rPr>
              <w:t xml:space="preserve">Naya Troup</w:t>
            </w:r>
          </w:p>
        </w:tc>
        <w:tc>
          <w:tcPr>
            <w:tcW w:type="dxa" w:w="1400"/>
            <w:tcMar>
              <w:top w:type="dxa" w:w="100"/>
              <w:left w:type="dxa" w:w="100"/>
              <w:bottom w:type="dxa" w:w="100"/>
              <w:right w:type="dxa" w:w="100"/>
            </w:tcMar>
          </w:tcPr>
          <w:p>
            <w:r>
              <w:rPr>
                <w:b/>
                <w:bCs/>
                <w:i/>
                <w:iCs/>
                <w:sz w:val="20"/>
                <w:szCs w:val="20"/>
              </w:rPr>
              <w:t xml:space="preserve">Emerging</w:t>
            </w:r>
          </w:p>
        </w:tc>
      </w:tr>
      <w:tr>
        <w:tc>
          <w:tcPr>
            <w:tcW w:type="dxa" w:w="2200"/>
            <w:tcMar>
              <w:top w:type="dxa" w:w="100"/>
              <w:left w:type="dxa" w:w="100"/>
              <w:bottom w:type="dxa" w:w="100"/>
              <w:right w:type="dxa" w:w="100"/>
            </w:tcMar>
          </w:tcPr>
          <w:p>
            <w:r>
              <w:rPr>
                <w:b w:val="false"/>
                <w:bCs w:val="false"/>
                <w:i w:val="false"/>
                <w:iCs w:val="false"/>
                <w:sz w:val="20"/>
                <w:szCs w:val="20"/>
              </w:rPr>
              <w:t xml:space="preserve">Measurable Results</w:t>
            </w:r>
          </w:p>
        </w:tc>
        <w:tc>
          <w:tcPr>
            <w:tcW w:type="dxa" w:w="3600"/>
            <w:tcMar>
              <w:top w:type="dxa" w:w="100"/>
              <w:left w:type="dxa" w:w="100"/>
              <w:bottom w:type="dxa" w:w="100"/>
              <w:right w:type="dxa" w:w="100"/>
            </w:tcMar>
          </w:tcPr>
          <w:p>
            <w:r>
              <w:rPr>
                <w:b w:val="false"/>
                <w:bCs w:val="false"/>
                <w:i w:val="false"/>
                <w:iCs w:val="false"/>
                <w:sz w:val="20"/>
                <w:szCs w:val="20"/>
              </w:rPr>
              <w:t xml:space="preserve">Clients can point to concrete business outcomes linked directly to the work.</w:t>
            </w:r>
          </w:p>
        </w:tc>
        <w:tc>
          <w:tcPr>
            <w:tcW w:type="dxa" w:w="1800"/>
            <w:tcMar>
              <w:top w:type="dxa" w:w="100"/>
              <w:left w:type="dxa" w:w="100"/>
              <w:bottom w:type="dxa" w:w="100"/>
              <w:right w:type="dxa" w:w="100"/>
            </w:tcMar>
          </w:tcPr>
          <w:p>
            <w:r>
              <w:rPr>
                <w:b w:val="false"/>
                <w:bCs w:val="false"/>
                <w:i/>
                <w:iCs/>
                <w:sz w:val="20"/>
                <w:szCs w:val="20"/>
              </w:rPr>
              <w:t xml:space="preserve">Naya Troup</w:t>
            </w:r>
          </w:p>
        </w:tc>
        <w:tc>
          <w:tcPr>
            <w:tcW w:type="dxa" w:w="1400"/>
            <w:tcMar>
              <w:top w:type="dxa" w:w="100"/>
              <w:left w:type="dxa" w:w="100"/>
              <w:bottom w:type="dxa" w:w="100"/>
              <w:right w:type="dxa" w:w="100"/>
            </w:tcMar>
          </w:tcPr>
          <w:p>
            <w:r>
              <w:rPr>
                <w:b/>
                <w:bCs/>
                <w:i/>
                <w:iCs/>
                <w:sz w:val="20"/>
                <w:szCs w:val="20"/>
              </w:rPr>
              <w:t xml:space="preserve">Emerging</w:t>
            </w:r>
          </w:p>
        </w:tc>
      </w:tr>
    </w:tbl>
    <w:p>
      <w:pPr>
        <w:spacing w:before="200"/>
      </w:pPr>
      <w:r>
        <w:rPr>
          <w:sz w:val="20"/>
          <w:szCs w:val="20"/>
        </w:rPr>
        <w:t xml:space="preserve"/>
      </w:r>
    </w:p>
    <w:p>
      <w:pPr>
        <w:pStyle w:val="Heading2"/>
        <w:spacing w:after="120" w:before="280"/>
      </w:pPr>
      <w:r>
        <w:rPr>
          <w:b/>
          <w:bCs/>
          <w:color w:val="0D1F4E"/>
          <w:sz w:val="26"/>
          <w:szCs w:val="26"/>
        </w:rPr>
        <w:t xml:space="preserve">Signal Strength Key</w:t>
      </w:r>
    </w:p>
    <w:p>
      <w:pPr>
        <w:pStyle w:val="ListParagraph"/>
        <w:numPr>
          <w:ilvl w:val="0"/>
          <w:numId w:val="1"/>
        </w:numPr>
        <w:spacing w:after="80"/>
      </w:pPr>
      <w:r>
        <w:rPr>
          <w:sz w:val="22"/>
          <w:szCs w:val="22"/>
        </w:rPr>
        <w:t xml:space="preserve">Emerging — Mentioned by 1 client. Worth watching.</w:t>
      </w:r>
    </w:p>
    <w:p>
      <w:pPr>
        <w:pStyle w:val="ListParagraph"/>
        <w:numPr>
          <w:ilvl w:val="0"/>
          <w:numId w:val="1"/>
        </w:numPr>
        <w:spacing w:after="80"/>
      </w:pPr>
      <w:r>
        <w:rPr>
          <w:sz w:val="22"/>
          <w:szCs w:val="22"/>
        </w:rPr>
        <w:t xml:space="preserve">Strong — Mentioned by 2–3+ clients independently. Reliable differentiator.</w:t>
      </w:r>
    </w:p>
    <w:p>
      <w:pPr>
        <w:pStyle w:val="ListParagraph"/>
        <w:numPr>
          <w:ilvl w:val="0"/>
          <w:numId w:val="1"/>
        </w:numPr>
        <w:spacing w:after="80"/>
      </w:pPr>
      <w:r>
        <w:rPr>
          <w:sz w:val="22"/>
          <w:szCs w:val="22"/>
        </w:rPr>
        <w:t xml:space="preserve">Dominant — Mentioned by the majority of clients unprompted. Core positioning anchor.</w:t>
      </w:r>
    </w:p>
    <w:p>
      <w:pPr>
        <w:spacing w:before="160"/>
      </w:pPr>
      <w:r>
        <w:rPr>
          <w:i/>
          <w:iCs/>
          <w:sz w:val="20"/>
          <w:szCs w:val="20"/>
        </w:rPr>
        <w:t xml:space="preserve">Themes and signal strength will update as new interviews are added to Section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2026-07-13T14:45:40.739Z</dcterms:created>
  <dcterms:modified xsi:type="dcterms:W3CDTF">2026-07-13T14:45:40.750Z</dcterms:modified>
</cp:coreProperties>
</file>

<file path=docProps/custom.xml><?xml version="1.0" encoding="utf-8"?>
<Properties xmlns="http://schemas.openxmlformats.org/officeDocument/2006/custom-properties" xmlns:vt="http://schemas.openxmlformats.org/officeDocument/2006/docPropsVTypes"/>
</file>