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w:t>
      </w:r>
    </w:p>
    <w:p>
      <w:pPr>
        <w:spacing w:after="40" w:before="140"/>
      </w:pPr>
      <w:r>
        <w:rPr>
          <w:b/>
          <w:bCs/>
          <w:color w:val="0F6E56"/>
          <w:sz w:val="20"/>
          <w:szCs w:val="20"/>
        </w:rPr>
        <w:t xml:space="preserve">Lead-in (styled as a distinct callout, not part of the subhead paragraph — needs visual weight)</w:t>
      </w:r>
    </w:p>
    <w:p>
      <w:pPr>
        <w:spacing w:after="100"/>
      </w:pPr>
      <w:r>
        <w:rPr>
          <w:b w:val="false"/>
          <w:bCs w:val="false"/>
          <w:sz w:val="22"/>
          <w:szCs w:val="22"/>
        </w:rPr>
        <w:t xml:space="preserve">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Answer sixty-five questions across ten areas in about twenty minutes.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 plan. Days get eaten by whatever's loudest instead of what actually moves things forward. That's normal in this stage. It's also the kind of thing that's easy to fix once you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Answer thirty-five questions across ten areas in about twenty minutes. At the end you'll know which systems need to catch up first and which ones are already strong enough to carry more weight.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are walking out the door. As volume climbs, service begins to slip. Growth does that. It keeps asking for a new version of the business, and the systems and strategy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How did you hear about us? (optional), then the routing answer as a field. One form, one handler, conditional logic sends the matching PDF — the Stage 1/Stage 2 split docs already built (2026-10-08-core-business-assessment-stage1-core.docx and -stage2-expansion.docx).</w:t>
      </w:r>
    </w:p>
    <w:p>
      <w:pPr>
        <w:spacing w:after="100"/>
      </w:pPr>
      <w:r>
        <w:rPr>
          <w:b w:val="false"/>
          <w:bCs w:val="false"/>
          <w:sz w:val="22"/>
          <w:szCs w:val="22"/>
        </w:rPr>
        <w:t xml:space="preserve">The “How did you hear about us?” field closes a real gap flagged in context/brand-positioning-metrics.md — no intake attribution exists anywhere in the business today, and this is a new form, so there's nothing to retrofit.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2026-10-09T02:01:22.535Z</dcterms:created>
  <dcterms:modified xsi:type="dcterms:W3CDTF">2026-10-09T02:01:22.535Z</dcterms:modified>
</cp:coreProperties>
</file>

<file path=docProps/custom.xml><?xml version="1.0" encoding="utf-8"?>
<Properties xmlns="http://schemas.openxmlformats.org/officeDocument/2006/custom-properties" xmlns:vt="http://schemas.openxmlformats.org/officeDocument/2006/docPropsVTypes"/>
</file>