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 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It's sixty-five questions across ten areas, about twenty minutes total.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any real plan. Days get eaten by whatever's loudest instead of what actually moves things forward. That's normal here. It's also the kind of thing that's easy to fix once you can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It's thirty-five questions across ten areas, about twenty minutes total. This covers everyone from the first real growing pains past $500K through the walls that tend to hit again around $1 million and again around $3 to $4 million. Whichever mile marker you're at, the business moved faster than the systems running it.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keep walking out the door. Service slips the moment volume climbs. Growth does that. It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then the routing answer as a field. One form, one handler, conditional logic sends the matching PDF — the Stage 1/Stage 2 split docs already built (2026-10-08-core-business-assessment-stage1-core.docx and -stage2-expansion.docx).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2026-10-09T01:41:23.116Z</dcterms:created>
  <dcterms:modified xsi:type="dcterms:W3CDTF">2026-10-09T01:41:23.123Z</dcterms:modified>
</cp:coreProperties>
</file>

<file path=docProps/custom.xml><?xml version="1.0" encoding="utf-8"?>
<Properties xmlns="http://schemas.openxmlformats.org/officeDocument/2006/custom-properties" xmlns:vt="http://schemas.openxmlformats.org/officeDocument/2006/docPropsVTypes"/>
</file>