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0D1F4E"/>
          <w:sz w:val="40"/>
          <w:szCs w:val="40"/>
        </w:rPr>
        <w:t xml:space="preserve">Applying Cultural Anthropology to Strategic Work with $250K–$4M Businesses</w:t>
      </w:r>
    </w:p>
    <w:p>
      <w:pPr>
        <w:spacing w:after="260"/>
      </w:pPr>
      <w:r>
        <w:rPr>
          <w:rFonts w:ascii="Arial" w:cs="Arial" w:eastAsia="Arial" w:hAnsi="Arial"/>
          <w:i/>
          <w:iCs/>
          <w:color w:val="7A776E"/>
          <w:sz w:val="20"/>
          <w:szCs w:val="20"/>
        </w:rPr>
        <w:t xml:space="preserve">Research brief, 2026-08-07. Built to feed three things: sharper tools for your own client work, a possible piece of the “Different Is Better Than Better” methodology, and content ideas. Not academic writing, not something to submit anywhere. Six research streams, synthesized below with a recommendation at the end for where the real opportunity is.</w:t>
      </w:r>
    </w:p>
    <w:p>
      <w:pPr>
        <w:spacing w:after="120" w:before="260"/>
      </w:pPr>
      <w:r>
        <w:rPr>
          <w:rFonts w:ascii="Arial" w:cs="Arial" w:eastAsia="Arial" w:hAnsi="Arial"/>
          <w:b/>
          <w:bCs/>
          <w:color w:val="0D1F4E"/>
          <w:sz w:val="25"/>
          <w:szCs w:val="25"/>
        </w:rPr>
        <w:t xml:space="preserve">The short version</w:t>
      </w:r>
    </w:p>
    <w:p>
      <w:pPr>
        <w:spacing w:after="160" w:line="300"/>
      </w:pPr>
      <w:r>
        <w:rPr>
          <w:rFonts w:ascii="Arial" w:cs="Arial" w:eastAsia="Arial" w:hAnsi="Arial"/>
          <w:color w:val="444441"/>
          <w:sz w:val="21"/>
          <w:szCs w:val="21"/>
        </w:rPr>
        <w:t xml:space="preserve">Business anthropology is a real field with real firms, real corporate case studies, and a professional society behind it, so none of this is a stretch. Of the five theoretical lenses researched, one stands out clearly: liminality and rites-of-passage theory maps almost exactly onto the “Messy Middle” language you already use, and it gives you a genuine theoretical foundation for something you're already doing intuitively. The other four (ethnographic method, symbolic/ritual reading, reciprocity/exchange, and habitus) are strong personal-practice tools and content fuel, but less obviously brand-defining on their own.</w:t>
      </w:r>
    </w:p>
    <w:p>
      <w:pPr>
        <w:spacing w:after="120" w:before="260"/>
      </w:pPr>
      <w:r>
        <w:rPr>
          <w:rFonts w:ascii="Arial" w:cs="Arial" w:eastAsia="Arial" w:hAnsi="Arial"/>
          <w:b/>
          <w:bCs/>
          <w:color w:val="0D1F4E"/>
          <w:sz w:val="25"/>
          <w:szCs w:val="25"/>
        </w:rPr>
        <w:t xml:space="preserve">1. Business anthropology already exists as a field</w:t>
      </w:r>
    </w:p>
    <w:p>
      <w:pPr>
        <w:spacing w:after="160" w:line="300"/>
      </w:pPr>
      <w:r>
        <w:rPr>
          <w:rFonts w:ascii="Arial" w:cs="Arial" w:eastAsia="Arial" w:hAnsi="Arial"/>
          <w:color w:val="444441"/>
          <w:sz w:val="21"/>
          <w:szCs w:val="21"/>
        </w:rPr>
        <w:t xml:space="preserve">You're not inventing a category. There's a professional society (EPIC, Ethnographic Praxis in Industry Conference, founded around 2005), academic reference works, and decades of corporate practice behind it.</w:t>
      </w:r>
    </w:p>
    <w:p>
      <w:pPr>
        <w:spacing w:after="160" w:line="300"/>
      </w:pPr>
      <w:r>
        <w:rPr>
          <w:rFonts w:ascii="Arial" w:cs="Arial" w:eastAsia="Arial" w:hAnsi="Arial"/>
          <w:b/>
          <w:bCs/>
          <w:color w:val="444441"/>
          <w:sz w:val="21"/>
          <w:szCs w:val="21"/>
        </w:rPr>
        <w:t xml:space="preserve">The real-world track record is substantial.</w:t>
      </w:r>
      <w:r>
        <w:rPr>
          <w:rFonts w:ascii="Arial" w:cs="Arial" w:eastAsia="Arial" w:hAnsi="Arial"/>
          <w:color w:val="444441"/>
          <w:sz w:val="21"/>
          <w:szCs w:val="21"/>
        </w:rPr>
        <w:t xml:space="preserve"> Xerox PARC's Work Practice and Technology group, starting in 1979, sent anthropologists to watch how people actually used office equipment, including the famous discovery of why photocopiers' “big green button” failed once researchers watched real usage instead of trusting the manual. Genevieve Bell ran Intel's first social-science research team from 1998 to 2016, doing global field studies on how people actually use technology in their homes and cars, and that work shaped product strategy directly. ReD Associates, a Copenhagen-founded consulting firm staffed with anthropologists and sociologists, sells ethnographic fieldwork as strategy consulting to clients like Adidas, positioned explicitly against conventional market research.</w:t>
      </w:r>
    </w:p>
    <w:p>
      <w:pPr>
        <w:spacing w:after="160" w:line="300"/>
      </w:pPr>
      <w:r>
        <w:rPr>
          <w:rFonts w:ascii="Arial" w:cs="Arial" w:eastAsia="Arial" w:hAnsi="Arial"/>
          <w:color w:val="444441"/>
          <w:sz w:val="21"/>
          <w:szCs w:val="21"/>
        </w:rPr>
        <w:t xml:space="preserve">None of that scales down to a solo practice. Intel's team had roughly a hundred people. Xerox's copier study involved video-based work-practice analysis. ReD staffs multi-consultant teams for multi-week engagements priced for enterprise budgets. What does scale down:</w:t>
      </w:r>
    </w:p>
    <w:p>
      <w:pPr>
        <w:pStyle w:val="ListParagraph"/>
        <w:numPr>
          <w:ilvl w:val="0"/>
          <w:numId w:val="2"/>
        </w:numPr>
        <w:spacing w:after="90" w:line="300"/>
      </w:pPr>
      <w:r>
        <w:rPr>
          <w:rFonts w:ascii="Arial" w:cs="Arial" w:eastAsia="Arial" w:hAnsi="Arial"/>
          <w:b/>
          <w:bCs/>
          <w:color w:val="444441"/>
          <w:sz w:val="21"/>
          <w:szCs w:val="21"/>
        </w:rPr>
        <w:t xml:space="preserve">Rapid ethnography</w:t>
      </w:r>
      <w:r>
        <w:rPr>
          <w:rFonts w:ascii="Arial" w:cs="Arial" w:eastAsia="Arial" w:hAnsi="Arial"/>
          <w:color w:val="444441"/>
          <w:sz w:val="21"/>
          <w:szCs w:val="21"/>
        </w:rPr>
        <w:t xml:space="preserve"> is a real, named sub-method built for exactly this constraint: short, tightly focused observation sessions with heavy prep beforehand, instead of open-ended weeks of fieldwork. A half-day sitting in on a client's team meeting, done with a clear question in mind going in, is a legitimate scaled-down version of what corporate anthropologists do.</w:t>
      </w:r>
    </w:p>
    <w:p>
      <w:pPr>
        <w:pStyle w:val="ListParagraph"/>
        <w:numPr>
          <w:ilvl w:val="0"/>
          <w:numId w:val="2"/>
        </w:numPr>
        <w:spacing w:after="90" w:line="300"/>
      </w:pPr>
      <w:r>
        <w:rPr>
          <w:rFonts w:ascii="Arial" w:cs="Arial" w:eastAsia="Arial" w:hAnsi="Arial"/>
          <w:b/>
          <w:bCs/>
          <w:color w:val="444441"/>
          <w:sz w:val="21"/>
          <w:szCs w:val="21"/>
        </w:rPr>
        <w:t xml:space="preserve">Thick description over intake forms.</w:t>
      </w:r>
      <w:r>
        <w:rPr>
          <w:rFonts w:ascii="Arial" w:cs="Arial" w:eastAsia="Arial" w:hAnsi="Arial"/>
          <w:color w:val="444441"/>
          <w:sz w:val="21"/>
          <w:szCs w:val="21"/>
        </w:rPr>
        <w:t xml:space="preserve"> Treat the first client conversation as fieldwork, not a questionnaire: not just what the owner says the problem is, but the words they use, what they skip past, what artifacts (the actual spreadsheet, the actual group chat) reveal about how work really happens versus how it's described.</w:t>
      </w:r>
    </w:p>
    <w:p>
      <w:pPr>
        <w:pStyle w:val="ListParagraph"/>
        <w:numPr>
          <w:ilvl w:val="0"/>
          <w:numId w:val="2"/>
        </w:numPr>
        <w:spacing w:after="90" w:line="300"/>
      </w:pPr>
      <w:r>
        <w:rPr>
          <w:rFonts w:ascii="Arial" w:cs="Arial" w:eastAsia="Arial" w:hAnsi="Arial"/>
          <w:b/>
          <w:bCs/>
          <w:color w:val="444441"/>
          <w:sz w:val="21"/>
          <w:szCs w:val="21"/>
        </w:rPr>
        <w:t xml:space="preserve">Comparative case notes across your own roster.</w:t>
      </w:r>
      <w:r>
        <w:rPr>
          <w:rFonts w:ascii="Arial" w:cs="Arial" w:eastAsia="Arial" w:hAnsi="Arial"/>
          <w:color w:val="444441"/>
          <w:sz w:val="21"/>
          <w:szCs w:val="21"/>
        </w:rPr>
        <w:t xml:space="preserve"> You have around 176 clients tracked over time. Most corporate anthropologists would envy that dataset. Systematically noting recurring patterns (how owner-operators talk about delegation, what a growth-stall narrative sounds like) across that many cases is a legitimate comparative-ethnography move, just without the formal write-up.</w:t>
      </w:r>
    </w:p>
    <w:p>
      <w:pPr>
        <w:spacing w:after="120" w:before="260"/>
      </w:pPr>
      <w:r>
        <w:rPr>
          <w:rFonts w:ascii="Arial" w:cs="Arial" w:eastAsia="Arial" w:hAnsi="Arial"/>
          <w:b/>
          <w:bCs/>
          <w:color w:val="0D1F4E"/>
          <w:sz w:val="25"/>
          <w:szCs w:val="25"/>
        </w:rPr>
        <w:t xml:space="preserve">2. Ethnographic method: a sharper way to listen on client calls</w:t>
      </w:r>
    </w:p>
    <w:p>
      <w:pPr>
        <w:spacing w:after="160" w:line="300"/>
      </w:pPr>
      <w:r>
        <w:rPr>
          <w:rFonts w:ascii="Arial" w:cs="Arial" w:eastAsia="Arial" w:hAnsi="Arial"/>
          <w:color w:val="444441"/>
          <w:sz w:val="21"/>
          <w:szCs w:val="21"/>
        </w:rPr>
        <w:t xml:space="preserve">Clifford Geertz's “thick description” is the idea that the same physical act (a wink, a twitch) means completely different things depending on the web of shared context around it, and that describing behavior without that context tells you almost nothing. John Van Maanen's participant observation is the method that surfaces it: watching what people actually do, over time, instead of just asking what they do, because the gap between the stated process and the lived one is usually where the real information lives.</w:t>
      </w:r>
    </w:p>
    <w:p>
      <w:pPr>
        <w:spacing w:after="160" w:line="300"/>
      </w:pPr>
      <w:r>
        <w:rPr>
          <w:rFonts w:ascii="Arial" w:cs="Arial" w:eastAsia="Arial" w:hAnsi="Arial"/>
          <w:color w:val="444441"/>
          <w:sz w:val="21"/>
          <w:szCs w:val="21"/>
        </w:rPr>
        <w:t xml:space="preserve">Four things worth trying in actual client calls:</w:t>
      </w:r>
    </w:p>
    <w:p>
      <w:pPr>
        <w:pStyle w:val="ListParagraph"/>
        <w:numPr>
          <w:ilvl w:val="0"/>
          <w:numId w:val="3"/>
        </w:numPr>
        <w:spacing w:after="90" w:line="300"/>
      </w:pPr>
      <w:r>
        <w:rPr>
          <w:rFonts w:ascii="Arial" w:cs="Arial" w:eastAsia="Arial" w:hAnsi="Arial"/>
          <w:b/>
          <w:bCs/>
          <w:color w:val="444441"/>
          <w:sz w:val="21"/>
          <w:szCs w:val="21"/>
        </w:rPr>
        <w:t xml:space="preserve">Ask “walk me through the last time this happened,” not “what's your process.”</w:t>
      </w:r>
      <w:r>
        <w:rPr>
          <w:rFonts w:ascii="Arial" w:cs="Arial" w:eastAsia="Arial" w:hAnsi="Arial"/>
          <w:color w:val="444441"/>
          <w:sz w:val="21"/>
          <w:szCs w:val="21"/>
        </w:rPr>
        <w:t xml:space="preserve"> People give you the official policy when asked abstractly. A concrete recent instance pulls out the real workflow, including the parts that quietly contradict the stated one.</w:t>
      </w:r>
    </w:p>
    <w:p>
      <w:pPr>
        <w:pStyle w:val="ListParagraph"/>
        <w:numPr>
          <w:ilvl w:val="0"/>
          <w:numId w:val="3"/>
        </w:numPr>
        <w:spacing w:after="90" w:line="300"/>
      </w:pPr>
      <w:r>
        <w:rPr>
          <w:rFonts w:ascii="Arial" w:cs="Arial" w:eastAsia="Arial" w:hAnsi="Arial"/>
          <w:b/>
          <w:bCs/>
          <w:color w:val="444441"/>
          <w:sz w:val="21"/>
          <w:szCs w:val="21"/>
        </w:rPr>
        <w:t xml:space="preserve">Notice what gets avoided.</w:t>
      </w:r>
      <w:r>
        <w:rPr>
          <w:rFonts w:ascii="Arial" w:cs="Arial" w:eastAsia="Arial" w:hAnsi="Arial"/>
          <w:color w:val="444441"/>
          <w:sz w:val="21"/>
          <w:szCs w:val="21"/>
        </w:rPr>
        <w:t xml:space="preserve"> Topics people steer around, decisions routed through someone other than the obvious owner, the employee who never comes up by name. The avoidance is data.</w:t>
      </w:r>
    </w:p>
    <w:p>
      <w:pPr>
        <w:pStyle w:val="ListParagraph"/>
        <w:numPr>
          <w:ilvl w:val="0"/>
          <w:numId w:val="3"/>
        </w:numPr>
        <w:spacing w:after="90" w:line="300"/>
      </w:pPr>
      <w:r>
        <w:rPr>
          <w:rFonts w:ascii="Arial" w:cs="Arial" w:eastAsia="Arial" w:hAnsi="Arial"/>
          <w:b/>
          <w:bCs/>
          <w:color w:val="444441"/>
          <w:sz w:val="21"/>
          <w:szCs w:val="21"/>
        </w:rPr>
        <w:t xml:space="preserve">Ask to see the actual artifact.</w:t>
      </w:r>
      <w:r>
        <w:rPr>
          <w:rFonts w:ascii="Arial" w:cs="Arial" w:eastAsia="Arial" w:hAnsi="Arial"/>
          <w:color w:val="444441"/>
          <w:sz w:val="21"/>
          <w:szCs w:val="21"/>
        </w:rPr>
        <w:t xml:space="preserve"> The real spreadsheet, the real group chat, the whiteboard nobody mentioned. Informal tools tell you more about real workflow than the stated system does.</w:t>
      </w:r>
    </w:p>
    <w:p>
      <w:pPr>
        <w:pStyle w:val="ListParagraph"/>
        <w:numPr>
          <w:ilvl w:val="0"/>
          <w:numId w:val="3"/>
        </w:numPr>
        <w:spacing w:after="90" w:line="300"/>
      </w:pPr>
      <w:r>
        <w:rPr>
          <w:rFonts w:ascii="Arial" w:cs="Arial" w:eastAsia="Arial" w:hAnsi="Arial"/>
          <w:b/>
          <w:bCs/>
          <w:color w:val="444441"/>
          <w:sz w:val="21"/>
          <w:szCs w:val="21"/>
        </w:rPr>
        <w:t xml:space="preserve">Watch for the gap between the owner's account and an employee's account of the same process.</w:t>
      </w:r>
      <w:r>
        <w:rPr>
          <w:rFonts w:ascii="Arial" w:cs="Arial" w:eastAsia="Arial" w:hAnsi="Arial"/>
          <w:color w:val="444441"/>
          <w:sz w:val="21"/>
          <w:szCs w:val="21"/>
        </w:rPr>
        <w:t xml:space="preserve"> That gap, on its own, is diagnostic.</w:t>
      </w:r>
    </w:p>
    <w:p>
      <w:pPr>
        <w:spacing w:after="160" w:line="300"/>
      </w:pPr>
      <w:r>
        <w:rPr>
          <w:rFonts w:ascii="Arial" w:cs="Arial" w:eastAsia="Arial" w:hAnsi="Arial"/>
          <w:color w:val="444441"/>
          <w:sz w:val="21"/>
          <w:szCs w:val="21"/>
        </w:rPr>
        <w:t xml:space="preserve">Worth naming honestly, including to yourself: a 60-minute call isn't ethnography. Real participant observation needs sustained time and trust that a consulting relationship, even a long one, doesn't fully replicate. Call this “ethnographically informed listening,” not ethnography, and you avoid overclaiming a method you're borrowing from rather than practicing at full rigor.</w:t>
      </w:r>
    </w:p>
    <w:p>
      <w:pPr>
        <w:spacing w:after="120" w:before="260"/>
      </w:pPr>
      <w:r>
        <w:rPr>
          <w:rFonts w:ascii="Arial" w:cs="Arial" w:eastAsia="Arial" w:hAnsi="Arial"/>
          <w:b/>
          <w:bCs/>
          <w:color w:val="0D1F4E"/>
          <w:sz w:val="25"/>
          <w:szCs w:val="25"/>
        </w:rPr>
        <w:t xml:space="preserve">3. Symbolic anthropology: what a company's rituals actually protect</w:t>
      </w:r>
    </w:p>
    <w:p>
      <w:pPr>
        <w:spacing w:after="160" w:line="300"/>
      </w:pPr>
      <w:r>
        <w:rPr>
          <w:rFonts w:ascii="Arial" w:cs="Arial" w:eastAsia="Arial" w:hAnsi="Arial"/>
          <w:color w:val="444441"/>
          <w:sz w:val="21"/>
          <w:szCs w:val="21"/>
        </w:rPr>
        <w:t xml:space="preserve">Geertz treated culture as something public and readable, not something locked inside people's heads. Victor Turner studied ritual as the machinery groups use to mark transitions and rebind people to shared values, and coined “communitas” for the intense, leveling bond that forms among people going through something together. Mary Douglas showed that what a group treats as shameful or out of place reveals its real anxieties about order, often more honestly than what it celebrates.</w:t>
      </w:r>
    </w:p>
    <w:p>
      <w:pPr>
        <w:spacing w:after="160" w:line="300"/>
      </w:pPr>
      <w:r>
        <w:rPr>
          <w:rFonts w:ascii="Arial" w:cs="Arial" w:eastAsia="Arial" w:hAnsi="Arial"/>
          <w:color w:val="444441"/>
          <w:sz w:val="21"/>
          <w:szCs w:val="21"/>
        </w:rPr>
        <w:t xml:space="preserve">Applied to a small business, a “ritual” is anything repeated and meaning-loaded that nobody bothers to explain, because everyone already knows what it means. A few places to look:</w:t>
      </w:r>
    </w:p>
    <w:p>
      <w:pPr>
        <w:pStyle w:val="ListParagraph"/>
        <w:numPr>
          <w:ilvl w:val="0"/>
          <w:numId w:val="2"/>
        </w:numPr>
        <w:spacing w:after="90" w:line="300"/>
      </w:pPr>
      <w:r>
        <w:rPr>
          <w:rFonts w:ascii="Arial" w:cs="Arial" w:eastAsia="Arial" w:hAnsi="Arial"/>
          <w:b/>
          <w:bCs/>
          <w:color w:val="444441"/>
          <w:sz w:val="21"/>
          <w:szCs w:val="21"/>
        </w:rPr>
        <w:t xml:space="preserve">Meeting rhythms.</w:t>
      </w:r>
      <w:r>
        <w:rPr>
          <w:rFonts w:ascii="Arial" w:cs="Arial" w:eastAsia="Arial" w:hAnsi="Arial"/>
          <w:color w:val="444441"/>
          <w:sz w:val="21"/>
          <w:szCs w:val="21"/>
        </w:rPr>
        <w:t xml:space="preserve"> Who talks first, what has a standing agenda slot versus what's perpetually “we'll get to it,” whether meetings open with wins or with fires. This tells you what the org actually values, independent of the mission statement.</w:t>
      </w:r>
    </w:p>
    <w:p>
      <w:pPr>
        <w:pStyle w:val="ListParagraph"/>
        <w:numPr>
          <w:ilvl w:val="0"/>
          <w:numId w:val="2"/>
        </w:numPr>
        <w:spacing w:after="90" w:line="300"/>
      </w:pPr>
      <w:r>
        <w:rPr>
          <w:rFonts w:ascii="Arial" w:cs="Arial" w:eastAsia="Arial" w:hAnsi="Arial"/>
          <w:b/>
          <w:bCs/>
          <w:color w:val="444441"/>
          <w:sz w:val="21"/>
          <w:szCs w:val="21"/>
        </w:rPr>
        <w:t xml:space="preserve">What gets celebrated versus ignored.</w:t>
      </w:r>
      <w:r>
        <w:rPr>
          <w:rFonts w:ascii="Arial" w:cs="Arial" w:eastAsia="Arial" w:hAnsi="Arial"/>
          <w:color w:val="444441"/>
          <w:sz w:val="21"/>
          <w:szCs w:val="21"/>
        </w:rPr>
        <w:t xml:space="preserve"> Public recognition maps the real value hierarchy. Silence around a category of work (nobody ever praises documentation) is itself a signal.</w:t>
      </w:r>
    </w:p>
    <w:p>
      <w:pPr>
        <w:pStyle w:val="ListParagraph"/>
        <w:numPr>
          <w:ilvl w:val="0"/>
          <w:numId w:val="2"/>
        </w:numPr>
        <w:spacing w:after="90" w:line="300"/>
      </w:pPr>
      <w:r>
        <w:rPr>
          <w:rFonts w:ascii="Arial" w:cs="Arial" w:eastAsia="Arial" w:hAnsi="Arial"/>
          <w:b/>
          <w:bCs/>
          <w:color w:val="444441"/>
          <w:sz w:val="21"/>
          <w:szCs w:val="21"/>
        </w:rPr>
        <w:t xml:space="preserve">Status markers.</w:t>
      </w:r>
      <w:r>
        <w:rPr>
          <w:rFonts w:ascii="Arial" w:cs="Arial" w:eastAsia="Arial" w:hAnsi="Arial"/>
          <w:color w:val="444441"/>
          <w:sz w:val="21"/>
          <w:szCs w:val="21"/>
        </w:rPr>
        <w:t xml:space="preserve"> Calendar access to the owner, who's cc'd, who isn't. Often a more accurate hierarchy than the org chart.</w:t>
      </w:r>
    </w:p>
    <w:p>
      <w:pPr>
        <w:pStyle w:val="ListParagraph"/>
        <w:numPr>
          <w:ilvl w:val="0"/>
          <w:numId w:val="2"/>
        </w:numPr>
        <w:spacing w:after="90" w:line="300"/>
      </w:pPr>
      <w:r>
        <w:rPr>
          <w:rFonts w:ascii="Arial" w:cs="Arial" w:eastAsia="Arial" w:hAnsi="Arial"/>
          <w:b/>
          <w:bCs/>
          <w:color w:val="444441"/>
          <w:sz w:val="21"/>
          <w:szCs w:val="21"/>
        </w:rPr>
        <w:t xml:space="preserve">How failure gets discussed.</w:t>
      </w:r>
      <w:r>
        <w:rPr>
          <w:rFonts w:ascii="Arial" w:cs="Arial" w:eastAsia="Arial" w:hAnsi="Arial"/>
          <w:color w:val="444441"/>
          <w:sz w:val="21"/>
          <w:szCs w:val="21"/>
        </w:rPr>
        <w:t xml:space="preserve"> Processed openly, or hidden and euphemized? That's a boundary line worth reading.</w:t>
      </w:r>
    </w:p>
    <w:p>
      <w:pPr>
        <w:spacing w:after="160" w:line="300"/>
      </w:pPr>
      <w:r>
        <w:rPr>
          <w:rFonts w:ascii="Arial" w:cs="Arial" w:eastAsia="Arial" w:hAnsi="Arial"/>
          <w:color w:val="444441"/>
          <w:sz w:val="21"/>
          <w:szCs w:val="21"/>
        </w:rPr>
        <w:t xml:space="preserve">The sharpest finding from this stream: a business stuck in constant reactive firefighting might be sustaining that pattern because crisis meetings generate the bonding and shared intensity that planning meetings never do. Nobody's choosing dysfunction on purpose. They might be unconsciously attached to the only moments that feel like real connection. No operational review catches that. Asking “what does this give people that the alternative doesn't” might.</w:t>
      </w:r>
    </w:p>
    <w:p>
      <w:pPr>
        <w:spacing w:after="160" w:line="300"/>
      </w:pPr>
      <w:r>
        <w:rPr>
          <w:rFonts w:ascii="Arial" w:cs="Arial" w:eastAsia="Arial" w:hAnsi="Arial"/>
          <w:color w:val="444441"/>
          <w:sz w:val="21"/>
          <w:szCs w:val="21"/>
        </w:rPr>
        <w:t xml:space="preserve">Guard against reading too much into too little. A team of five or six people is genuinely too small to distinguish “culture” from “two loud personalities,” and it's easy to spot a pattern and assign it more meaning than the people living it would recognize.</w:t>
      </w:r>
    </w:p>
    <w:p>
      <w:pPr>
        <w:spacing w:after="120" w:before="260"/>
      </w:pPr>
      <w:r>
        <w:rPr>
          <w:rFonts w:ascii="Arial" w:cs="Arial" w:eastAsia="Arial" w:hAnsi="Arial"/>
          <w:b/>
          <w:bCs/>
          <w:color w:val="0D1F4E"/>
          <w:sz w:val="25"/>
          <w:szCs w:val="25"/>
        </w:rPr>
        <w:t xml:space="preserve">4. Reciprocity and exchange: the org chart nobody wrote down</w:t>
      </w:r>
    </w:p>
    <w:p>
      <w:pPr>
        <w:spacing w:after="160" w:line="300"/>
      </w:pPr>
      <w:r>
        <w:rPr>
          <w:rFonts w:ascii="Arial" w:cs="Arial" w:eastAsia="Arial" w:hAnsi="Arial"/>
          <w:color w:val="444441"/>
          <w:sz w:val="21"/>
          <w:szCs w:val="21"/>
        </w:rPr>
        <w:t xml:space="preserve">Marcel Mauss's foundational argument in </w:t>
      </w:r>
      <w:r>
        <w:rPr>
          <w:rFonts w:ascii="Arial" w:cs="Arial" w:eastAsia="Arial" w:hAnsi="Arial"/>
          <w:i/>
          <w:iCs/>
          <w:color w:val="444441"/>
          <w:sz w:val="21"/>
          <w:szCs w:val="21"/>
        </w:rPr>
        <w:t xml:space="preserve">The Gift</w:t>
      </w:r>
      <w:r>
        <w:rPr>
          <w:rFonts w:ascii="Arial" w:cs="Arial" w:eastAsia="Arial" w:hAnsi="Arial"/>
          <w:color w:val="444441"/>
          <w:sz w:val="21"/>
          <w:szCs w:val="21"/>
        </w:rPr>
        <w:t xml:space="preserve"> is that no gift is really free. Giving, receiving, and repaying form a triple obligation, and refusing a gift refuses the relationship it would have created. Marshall Sahlins later split reciprocity into three tiers: generalized (given freely, no ledger, typical between family or close ties), balanced (roughly equal, timely, typical between peers), and negative (extracting maximum value, typical between strangers). The point that carries over directly: exchange isn't really about the object changing hands. It's how a group keeps track of who owes what to whom, and that shadow ledger often outlasts and outweighs the formal one.</w:t>
      </w:r>
    </w:p>
    <w:p>
      <w:pPr>
        <w:spacing w:after="160" w:line="300"/>
      </w:pPr>
      <w:r>
        <w:rPr>
          <w:rFonts w:ascii="Arial" w:cs="Arial" w:eastAsia="Arial" w:hAnsi="Arial"/>
          <w:color w:val="444441"/>
          <w:sz w:val="21"/>
          <w:szCs w:val="21"/>
        </w:rPr>
        <w:t xml:space="preserve">A real business-world method already does a version of this: Organizational Network Analysis, which maps who people actually go to for help or decisions against who the org chart says they should go to. Worth borrowing outright rather than reinventing.</w:t>
      </w:r>
    </w:p>
    <w:p>
      <w:pPr>
        <w:spacing w:after="160" w:line="300"/>
      </w:pPr>
      <w:r>
        <w:rPr>
          <w:rFonts w:ascii="Arial" w:cs="Arial" w:eastAsia="Arial" w:hAnsi="Arial"/>
          <w:color w:val="444441"/>
          <w:sz w:val="21"/>
          <w:szCs w:val="21"/>
        </w:rPr>
        <w:t xml:space="preserve">The example worth holding onto: an owner who won't delegate to an early employee may not have a trust problem. They may be sitting on an unpaid reciprocity debt, generalized-tier, the kind you don't put a number on, because that person carried the business through a lean year once. Stripping their authority reads as betrayal, not promotion logic, and no amount of “you need to learn to let go” advice will land until that debt gets named.</w:t>
      </w:r>
    </w:p>
    <w:p>
      <w:pPr>
        <w:spacing w:after="160" w:line="300"/>
      </w:pPr>
      <w:r>
        <w:rPr>
          <w:rFonts w:ascii="Arial" w:cs="Arial" w:eastAsia="Arial" w:hAnsi="Arial"/>
          <w:color w:val="444441"/>
          <w:sz w:val="21"/>
          <w:szCs w:val="21"/>
        </w:rPr>
        <w:t xml:space="preserve">One clear caution: kinship language (“we're like family here”) doesn't guarantee generalized reciprocity in practice. Some owners use the rhetoric while running negative reciprocity underneath, extracting more than they give. Read the behavior, not the vocabulary.</w:t>
      </w:r>
    </w:p>
    <w:p>
      <w:pPr>
        <w:spacing w:after="120" w:before="260"/>
      </w:pPr>
      <w:r>
        <w:rPr>
          <w:rFonts w:ascii="Arial" w:cs="Arial" w:eastAsia="Arial" w:hAnsi="Arial"/>
          <w:b/>
          <w:bCs/>
          <w:color w:val="0D1F4E"/>
          <w:sz w:val="25"/>
          <w:szCs w:val="25"/>
        </w:rPr>
        <w:t xml:space="preserve">5. Liminality and rites of passage: this one already fits your language</w:t>
      </w:r>
    </w:p>
    <w:p>
      <w:pPr>
        <w:spacing w:after="160" w:line="300"/>
      </w:pPr>
      <w:r>
        <w:rPr>
          <w:rFonts w:ascii="Arial" w:cs="Arial" w:eastAsia="Arial" w:hAnsi="Arial"/>
          <w:color w:val="444441"/>
          <w:sz w:val="21"/>
          <w:szCs w:val="21"/>
        </w:rPr>
        <w:t xml:space="preserve">Arnold van Gennep's classic structure has three stages: separation from an old status, a liminal (threshold) period that's neither the old identity nor the new one, and reincorporation into the new status once the community recognizes the change. Victor Turner developed the middle stage further: liminal people are stripped of their usual status markers, temporarily leveled with each other regardless of former rank, and that leveling produces communitas, the intense bonding unique to shared in-between states.</w:t>
      </w:r>
    </w:p>
    <w:p>
      <w:pPr>
        <w:spacing w:after="160" w:line="300"/>
      </w:pPr>
      <w:r>
        <w:rPr>
          <w:rFonts w:ascii="Arial" w:cs="Arial" w:eastAsia="Arial" w:hAnsi="Arial"/>
          <w:color w:val="444441"/>
          <w:sz w:val="21"/>
          <w:szCs w:val="21"/>
        </w:rPr>
        <w:t xml:space="preserve">This has already been translated into business language once, directly. William Bridges' </w:t>
      </w:r>
      <w:r>
        <w:rPr>
          <w:rFonts w:ascii="Arial" w:cs="Arial" w:eastAsia="Arial" w:hAnsi="Arial"/>
          <w:i/>
          <w:iCs/>
          <w:color w:val="444441"/>
          <w:sz w:val="21"/>
          <w:szCs w:val="21"/>
        </w:rPr>
        <w:t xml:space="preserve">Managing Transitions</w:t>
      </w:r>
      <w:r>
        <w:rPr>
          <w:rFonts w:ascii="Arial" w:cs="Arial" w:eastAsia="Arial" w:hAnsi="Arial"/>
          <w:color w:val="444441"/>
          <w:sz w:val="21"/>
          <w:szCs w:val="21"/>
        </w:rPr>
        <w:t xml:space="preserve"> (1991) is essentially van Gennep and Turner repackaged as Endings, Neutral Zone, New Beginnings, and Bridges' central point is worth sitting with: the neutral zone is “the seedbed for new beginnings,” not a problem to route around. Organizations get stuck specifically when they try to skip it.</w:t>
      </w:r>
    </w:p>
    <w:p>
      <w:pPr>
        <w:spacing w:after="160" w:line="300"/>
      </w:pPr>
      <w:r>
        <w:rPr>
          <w:rFonts w:ascii="Arial" w:cs="Arial" w:eastAsia="Arial" w:hAnsi="Arial"/>
          <w:color w:val="444441"/>
          <w:sz w:val="21"/>
          <w:szCs w:val="21"/>
        </w:rPr>
        <w:t xml:space="preserve">Here's the connection worth taking seriously: a stalled-growth business isn't just metaphorically stuck. It may genuinely be in a liminal state, separated from its informal small-business identity but not yet reincorporated as a professionally run organization. Anthropology is specific about what liminal states need to resolve rather than drift indefinitely:</w:t>
      </w:r>
    </w:p>
    <w:p>
      <w:pPr>
        <w:pStyle w:val="ListParagraph"/>
        <w:numPr>
          <w:ilvl w:val="0"/>
          <w:numId w:val="2"/>
        </w:numPr>
        <w:spacing w:after="90" w:line="300"/>
      </w:pPr>
      <w:r>
        <w:rPr>
          <w:rFonts w:ascii="Arial" w:cs="Arial" w:eastAsia="Arial" w:hAnsi="Arial"/>
          <w:b/>
          <w:bCs/>
          <w:color w:val="444441"/>
          <w:sz w:val="21"/>
          <w:szCs w:val="21"/>
        </w:rPr>
        <w:t xml:space="preserve">A guide who's already made the passage.</w:t>
      </w:r>
      <w:r>
        <w:rPr>
          <w:rFonts w:ascii="Arial" w:cs="Arial" w:eastAsia="Arial" w:hAnsi="Arial"/>
          <w:color w:val="444441"/>
          <w:sz w:val="21"/>
          <w:szCs w:val="21"/>
        </w:rPr>
        <w:t xml:space="preserve"> This is the consultant role, almost exactly. There's academic work making this connection directly (Czarniawska and Mazza's “Consulting as a Liminal Space,” 2003).</w:t>
      </w:r>
    </w:p>
    <w:p>
      <w:pPr>
        <w:pStyle w:val="ListParagraph"/>
        <w:numPr>
          <w:ilvl w:val="0"/>
          <w:numId w:val="2"/>
        </w:numPr>
        <w:spacing w:after="90" w:line="300"/>
      </w:pPr>
      <w:r>
        <w:rPr>
          <w:rFonts w:ascii="Arial" w:cs="Arial" w:eastAsia="Arial" w:hAnsi="Arial"/>
          <w:b/>
          <w:bCs/>
          <w:color w:val="444441"/>
          <w:sz w:val="21"/>
          <w:szCs w:val="21"/>
        </w:rPr>
        <w:t xml:space="preserve">Communitas.</w:t>
      </w:r>
      <w:r>
        <w:rPr>
          <w:rFonts w:ascii="Arial" w:cs="Arial" w:eastAsia="Arial" w:hAnsi="Arial"/>
          <w:color w:val="444441"/>
          <w:sz w:val="21"/>
          <w:szCs w:val="21"/>
        </w:rPr>
        <w:t xml:space="preserve"> A cohort going through the same threshold together. This is structurally what the masterminds already are, whether or not that's how you've been thinking about them.</w:t>
      </w:r>
    </w:p>
    <w:p>
      <w:pPr>
        <w:pStyle w:val="ListParagraph"/>
        <w:numPr>
          <w:ilvl w:val="0"/>
          <w:numId w:val="2"/>
        </w:numPr>
        <w:spacing w:after="90" w:line="300"/>
      </w:pPr>
      <w:r>
        <w:rPr>
          <w:rFonts w:ascii="Arial" w:cs="Arial" w:eastAsia="Arial" w:hAnsi="Arial"/>
          <w:b/>
          <w:bCs/>
          <w:color w:val="444441"/>
          <w:sz w:val="21"/>
          <w:szCs w:val="21"/>
        </w:rPr>
        <w:t xml:space="preserve">Marked thresholds.</w:t>
      </w:r>
      <w:r>
        <w:rPr>
          <w:rFonts w:ascii="Arial" w:cs="Arial" w:eastAsia="Arial" w:hAnsi="Arial"/>
          <w:color w:val="444441"/>
          <w:sz w:val="21"/>
          <w:szCs w:val="21"/>
        </w:rPr>
        <w:t xml:space="preserve"> Visible moments that make the transition real, so it doesn't drift indefinitely. This is the piece that's least built out right now.</w:t>
      </w:r>
    </w:p>
    <w:p>
      <w:pPr>
        <w:spacing w:after="160" w:line="300"/>
      </w:pPr>
      <w:r>
        <w:rPr>
          <w:rFonts w:ascii="Arial" w:cs="Arial" w:eastAsia="Arial" w:hAnsi="Arial"/>
          <w:color w:val="444441"/>
          <w:sz w:val="21"/>
          <w:szCs w:val="21"/>
        </w:rPr>
        <w:t xml:space="preserve">Of everything researched, this is the strongest candidate for something more formal. It doesn't require inventing new language since “Messy Middle” already does the work. It gives that language actual theoretical weight instead of just a catchy name. And it points at a concrete gap: engagements mark the start of a client relationship (a kickoff, a rebrand) far more often than they mark the end, the reincorporation moment, the point where a client is formally “through” the plateau. Building that in deliberately is a real, usable idea.</w:t>
      </w:r>
    </w:p>
    <w:p>
      <w:pPr>
        <w:spacing w:after="160" w:line="300"/>
      </w:pPr>
      <w:r>
        <w:rPr>
          <w:rFonts w:ascii="Arial" w:cs="Arial" w:eastAsia="Arial" w:hAnsi="Arial"/>
          <w:color w:val="444441"/>
          <w:sz w:val="21"/>
          <w:szCs w:val="21"/>
        </w:rPr>
        <w:t xml:space="preserve">The honest caveat: traditional rites of passage had a socially guaranteed endpoint. A business doesn't. Naming the neutral zone helps, but it doesn't resolve on its own, the way Bridges' own model insists on deliberate movement through it rather than just tolerating it.</w:t>
      </w:r>
    </w:p>
    <w:p>
      <w:pPr>
        <w:spacing w:after="120" w:before="260"/>
      </w:pPr>
      <w:r>
        <w:rPr>
          <w:rFonts w:ascii="Arial" w:cs="Arial" w:eastAsia="Arial" w:hAnsi="Arial"/>
          <w:b/>
          <w:bCs/>
          <w:color w:val="0D1F4E"/>
          <w:sz w:val="25"/>
          <w:szCs w:val="25"/>
        </w:rPr>
        <w:t xml:space="preserve">6. Practice theory and habitus: why good advice gets nodded at and then ignored</w:t>
      </w:r>
    </w:p>
    <w:p>
      <w:pPr>
        <w:spacing w:after="160" w:line="300"/>
      </w:pPr>
      <w:r>
        <w:rPr>
          <w:rFonts w:ascii="Arial" w:cs="Arial" w:eastAsia="Arial" w:hAnsi="Arial"/>
          <w:color w:val="444441"/>
          <w:sz w:val="21"/>
          <w:szCs w:val="21"/>
        </w:rPr>
        <w:t xml:space="preserve">Pierre Bourdieu's habitus is the deeply internalized, mostly unconscious set of instincts a person develops through repeated exposure to their circumstances, closer to muscle memory than belief. Doxa is the subset that never even rises to the level of an opinion, the assumptions so basic they aren't experienced as assumptions at all. Both are durable. They don't update just because circumstances have changed, which is why people keep acting on old logic in new situations, a mismatch Bourdieu called hysteresis.</w:t>
      </w:r>
    </w:p>
    <w:p>
      <w:pPr>
        <w:spacing w:after="160" w:line="300"/>
      </w:pPr>
      <w:r>
        <w:rPr>
          <w:rFonts w:ascii="Arial" w:cs="Arial" w:eastAsia="Arial" w:hAnsi="Arial"/>
          <w:color w:val="444441"/>
          <w:sz w:val="21"/>
          <w:szCs w:val="21"/>
        </w:rPr>
        <w:t xml:space="preserve">This reframes something that looks like stubbornness. An owner who agrees to a new delegation system and reverts within two weeks isn't being difficult. Their habitus, built over years of solo operation, is reasserting itself faster than their stated intentions can override it. There's a real academic bridge into consulting practice here too: Baruch Shimoni's 2018 paper proposes “habitus consulting” explicitly as an alternative to standard organizational development, which tends to treat resistance as either a pure psychology problem or a pure structure problem.</w:t>
      </w:r>
    </w:p>
    <w:p>
      <w:pPr>
        <w:spacing w:after="160" w:line="300"/>
      </w:pPr>
      <w:r>
        <w:rPr>
          <w:rFonts w:ascii="Arial" w:cs="Arial" w:eastAsia="Arial" w:hAnsi="Arial"/>
          <w:color w:val="444441"/>
          <w:sz w:val="21"/>
          <w:szCs w:val="21"/>
        </w:rPr>
        <w:t xml:space="preserve">The line worth having ready in a session: “your instincts were built for a $300K business. This is a $1.5M one.” That's hysteresis, stated plainly, and it reframes the conversation away from discipline and toward recalibration.</w:t>
      </w:r>
    </w:p>
    <w:p>
      <w:pPr>
        <w:spacing w:after="160" w:line="300"/>
      </w:pPr>
      <w:r>
        <w:rPr>
          <w:rFonts w:ascii="Arial" w:cs="Arial" w:eastAsia="Arial" w:hAnsi="Arial"/>
          <w:color w:val="444441"/>
          <w:sz w:val="21"/>
          <w:szCs w:val="21"/>
        </w:rPr>
        <w:t xml:space="preserve">Two things to watch. First, this framework can slide into an excuse (“it's just their habitus”) for behavior that's genuinely a choice, like underpaying staff or avoiding a hard conversation. It should sharpen the diagnosis, not soften the accountability. Second, not every stuck pattern is this deep. Sometimes it really is just a skills gap, and reaching for Bourdieu when a checklist would fix it faster is its own kind of overcomplication.</w:t>
      </w:r>
    </w:p>
    <w:p>
      <w:pPr>
        <w:spacing w:after="120" w:before="260"/>
      </w:pPr>
      <w:r>
        <w:rPr>
          <w:rFonts w:ascii="Arial" w:cs="Arial" w:eastAsia="Arial" w:hAnsi="Arial"/>
          <w:b/>
          <w:bCs/>
          <w:color w:val="0D1F4E"/>
          <w:sz w:val="25"/>
          <w:szCs w:val="25"/>
        </w:rPr>
        <w:t xml:space="preserve">Where to actually use this</w:t>
      </w:r>
    </w:p>
    <w:p>
      <w:pPr>
        <w:spacing w:after="60" w:before="60"/>
      </w:pPr>
      <w:r>
        <w:rPr>
          <w:rFonts w:ascii="Arial" w:cs="Arial" w:eastAsia="Arial" w:hAnsi="Arial"/>
          <w:b/>
          <w:bCs/>
          <w:color w:val="0F6E56"/>
          <w:sz w:val="21"/>
          <w:szCs w:val="21"/>
        </w:rPr>
        <w:t xml:space="preserve">In client work now, starting immediately.</w:t>
      </w:r>
    </w:p>
    <w:p>
      <w:pPr>
        <w:spacing w:after="160" w:line="300"/>
      </w:pPr>
      <w:r>
        <w:rPr>
          <w:rFonts w:ascii="Arial" w:cs="Arial" w:eastAsia="Arial" w:hAnsi="Arial"/>
          <w:color w:val="444441"/>
          <w:sz w:val="21"/>
          <w:szCs w:val="21"/>
        </w:rPr>
        <w:t xml:space="preserve">The ethnographic listening techniques from section 2 (ask for a recent instance, not a policy; ask to see the real artifact; notice what's avoided) and the habitus reframe from section 6 (“your instincts were built for a smaller business”) are both usable in a normal call with no setup required.</w:t>
      </w:r>
    </w:p>
    <w:p>
      <w:pPr>
        <w:spacing w:after="60" w:before="60"/>
      </w:pPr>
      <w:r>
        <w:rPr>
          <w:rFonts w:ascii="Arial" w:cs="Arial" w:eastAsia="Arial" w:hAnsi="Arial"/>
          <w:b/>
          <w:bCs/>
          <w:color w:val="0F6E56"/>
          <w:sz w:val="21"/>
          <w:szCs w:val="21"/>
        </w:rPr>
        <w:t xml:space="preserve">For the brand.</w:t>
      </w:r>
    </w:p>
    <w:p>
      <w:pPr>
        <w:spacing w:after="160" w:line="300"/>
      </w:pPr>
      <w:r>
        <w:rPr>
          <w:rFonts w:ascii="Arial" w:cs="Arial" w:eastAsia="Arial" w:hAnsi="Arial"/>
          <w:color w:val="444441"/>
          <w:sz w:val="21"/>
          <w:szCs w:val="21"/>
        </w:rPr>
        <w:t xml:space="preserve">Liminality and rites-of-passage theory is the one worth developing further, not the others. It costs nothing to existing positioning, since “Messy Middle” already carries the idea. It gives a real theoretical foundation to something that currently reads as a good metaphor. And it points directly at a concrete addition: building a deliberate “reincorporation” moment into how engagements close, something that marks a client's actual passage out of the stalled stage, not just the start of working together. The business-anthropology precedent from section 1 (EPIC, Intel, ReD) is useful supporting evidence if this ever needs defending as a serious approach rather than a soft one.</w:t>
      </w:r>
    </w:p>
    <w:p>
      <w:pPr>
        <w:spacing w:after="60" w:before="60"/>
      </w:pPr>
      <w:r>
        <w:rPr>
          <w:rFonts w:ascii="Arial" w:cs="Arial" w:eastAsia="Arial" w:hAnsi="Arial"/>
          <w:b/>
          <w:bCs/>
          <w:color w:val="0F6E56"/>
          <w:sz w:val="21"/>
          <w:szCs w:val="21"/>
        </w:rPr>
        <w:t xml:space="preserve">For content.</w:t>
      </w:r>
    </w:p>
    <w:p>
      <w:pPr>
        <w:spacing w:after="160" w:line="300"/>
      </w:pPr>
      <w:r>
        <w:rPr>
          <w:rFonts w:ascii="Arial" w:cs="Arial" w:eastAsia="Arial" w:hAnsi="Arial"/>
          <w:color w:val="444441"/>
          <w:sz w:val="21"/>
          <w:szCs w:val="21"/>
        </w:rPr>
        <w:t xml:space="preserve">A few angles that came directly out of this research, each grounded in a real finding rather than a generic wellness-adjacent take on anthropology:</w:t>
      </w:r>
    </w:p>
    <w:p>
      <w:pPr>
        <w:pStyle w:val="ListParagraph"/>
        <w:numPr>
          <w:ilvl w:val="0"/>
          <w:numId w:val="2"/>
        </w:numPr>
        <w:spacing w:after="90" w:line="300"/>
      </w:pPr>
      <w:r>
        <w:rPr>
          <w:rFonts w:ascii="Arial" w:cs="Arial" w:eastAsia="Arial" w:hAnsi="Arial"/>
          <w:color w:val="444441"/>
          <w:sz w:val="21"/>
          <w:szCs w:val="21"/>
        </w:rPr>
        <w:t xml:space="preserve">Why a team won't stop firefighting, even when everyone agrees it's a problem (the communitas-of-crisis finding from section 3)</w:t>
      </w:r>
    </w:p>
    <w:p>
      <w:pPr>
        <w:pStyle w:val="ListParagraph"/>
        <w:numPr>
          <w:ilvl w:val="0"/>
          <w:numId w:val="2"/>
        </w:numPr>
        <w:spacing w:after="90" w:line="300"/>
      </w:pPr>
      <w:r>
        <w:rPr>
          <w:rFonts w:ascii="Arial" w:cs="Arial" w:eastAsia="Arial" w:hAnsi="Arial"/>
          <w:color w:val="444441"/>
          <w:sz w:val="21"/>
          <w:szCs w:val="21"/>
        </w:rPr>
        <w:t xml:space="preserve">The real reason a founder won't promote their most loyal early hire (the reciprocity-debt finding from section 4)</w:t>
      </w:r>
    </w:p>
    <w:p>
      <w:pPr>
        <w:pStyle w:val="ListParagraph"/>
        <w:numPr>
          <w:ilvl w:val="0"/>
          <w:numId w:val="2"/>
        </w:numPr>
        <w:spacing w:after="90" w:line="300"/>
      </w:pPr>
      <w:r>
        <w:rPr>
          <w:rFonts w:ascii="Arial" w:cs="Arial" w:eastAsia="Arial" w:hAnsi="Arial"/>
          <w:color w:val="444441"/>
          <w:sz w:val="21"/>
          <w:szCs w:val="21"/>
        </w:rPr>
        <w:t xml:space="preserve">You're not stuck, you're in the neutral zone (section 5, ties directly to Messy Middle)</w:t>
      </w:r>
    </w:p>
    <w:p>
      <w:pPr>
        <w:pStyle w:val="ListParagraph"/>
        <w:numPr>
          <w:ilvl w:val="0"/>
          <w:numId w:val="2"/>
        </w:numPr>
        <w:spacing w:after="90" w:line="300"/>
      </w:pPr>
      <w:r>
        <w:rPr>
          <w:rFonts w:ascii="Arial" w:cs="Arial" w:eastAsia="Arial" w:hAnsi="Arial"/>
          <w:color w:val="444441"/>
          <w:sz w:val="21"/>
          <w:szCs w:val="21"/>
        </w:rPr>
        <w:t xml:space="preserve">Your instincts were built for a smaller business than the one you're running now (section 6)</w:t>
      </w:r>
    </w:p>
    <w:p>
      <w:pPr>
        <w:spacing w:after="60" w:before="60"/>
      </w:pPr>
      <w:r>
        <w:rPr>
          <w:rFonts w:ascii="Arial" w:cs="Arial" w:eastAsia="Arial" w:hAnsi="Arial"/>
          <w:b/>
          <w:bCs/>
          <w:color w:val="0F6E56"/>
          <w:sz w:val="21"/>
          <w:szCs w:val="21"/>
        </w:rPr>
        <w:t xml:space="preserve">Cross-cutting caution.</w:t>
      </w:r>
    </w:p>
    <w:p>
      <w:pPr>
        <w:spacing w:after="160" w:line="300"/>
      </w:pPr>
      <w:r>
        <w:rPr>
          <w:rFonts w:ascii="Arial" w:cs="Arial" w:eastAsia="Arial" w:hAnsi="Arial"/>
          <w:color w:val="444441"/>
          <w:sz w:val="21"/>
          <w:szCs w:val="21"/>
        </w:rPr>
        <w:t xml:space="preserve">Every one of these lenses can be over-applied. A team of five people is too small to reliably separate “culture” from individual personality. A reciprocity or habitus explanation can turn into an unfalsifiable story if it's not checked against what the people involved actually say. Use these as sharper questions to ask, not as diagnoses to hand down.</w:t>
      </w:r>
    </w:p>
    <w:p>
      <w:pPr>
        <w:spacing w:after="120" w:before="260"/>
      </w:pPr>
      <w:r>
        <w:rPr>
          <w:rFonts w:ascii="Arial" w:cs="Arial" w:eastAsia="Arial" w:hAnsi="Arial"/>
          <w:b/>
          <w:bCs/>
          <w:color w:val="0D1F4E"/>
          <w:sz w:val="25"/>
          <w:szCs w:val="25"/>
        </w:rPr>
        <w:t xml:space="preserve">Sources</w:t>
      </w:r>
    </w:p>
    <w:p>
      <w:pPr>
        <w:spacing w:after="60" w:before="180"/>
      </w:pPr>
      <w:r>
        <w:rPr>
          <w:rFonts w:ascii="Arial" w:cs="Arial" w:eastAsia="Arial" w:hAnsi="Arial"/>
          <w:b/>
          <w:bCs/>
          <w:color w:val="0D1F4E"/>
          <w:sz w:val="19"/>
          <w:szCs w:val="19"/>
        </w:rPr>
        <w:t xml:space="preserve">Business anthropology as a field</w:t>
      </w:r>
    </w:p>
    <w:p>
      <w:pPr>
        <w:pStyle w:val="ListParagraph"/>
        <w:numPr>
          <w:ilvl w:val="0"/>
          <w:numId w:val="4"/>
        </w:numPr>
        <w:spacing w:after="40" w:line="260"/>
      </w:pPr>
      <w:r>
        <w:rPr>
          <w:rFonts w:ascii="Arial" w:cs="Arial" w:eastAsia="Arial" w:hAnsi="Arial"/>
          <w:color w:val="7A776E"/>
          <w:sz w:val="18"/>
          <w:szCs w:val="18"/>
        </w:rPr>
        <w:t xml:space="preserve">EPIC (Ethnographic Praxis in Industry Conference), epicpeople.org</w:t>
      </w:r>
    </w:p>
    <w:p>
      <w:pPr>
        <w:pStyle w:val="ListParagraph"/>
        <w:numPr>
          <w:ilvl w:val="0"/>
          <w:numId w:val="4"/>
        </w:numPr>
        <w:spacing w:after="40" w:line="260"/>
      </w:pPr>
      <w:r>
        <w:rPr>
          <w:rFonts w:ascii="Arial" w:cs="Arial" w:eastAsia="Arial" w:hAnsi="Arial"/>
          <w:color w:val="7A776E"/>
          <w:sz w:val="18"/>
          <w:szCs w:val="18"/>
        </w:rPr>
        <w:t xml:space="preserve">Ann T. Jordan, “Business Anthropology,” Oxford Research Encyclopedia (2019)</w:t>
      </w:r>
    </w:p>
    <w:p>
      <w:pPr>
        <w:pStyle w:val="ListParagraph"/>
        <w:numPr>
          <w:ilvl w:val="0"/>
          <w:numId w:val="4"/>
        </w:numPr>
        <w:spacing w:after="40" w:line="260"/>
      </w:pPr>
      <w:r>
        <w:rPr>
          <w:rFonts w:ascii="Arial" w:cs="Arial" w:eastAsia="Arial" w:hAnsi="Arial"/>
          <w:color w:val="7A776E"/>
          <w:sz w:val="18"/>
          <w:szCs w:val="18"/>
        </w:rPr>
        <w:t xml:space="preserve">Bate, “Whatever Happened to Organizational Anthropology?”, </w:t>
      </w:r>
      <w:r>
        <w:rPr>
          <w:rFonts w:ascii="Arial" w:cs="Arial" w:eastAsia="Arial" w:hAnsi="Arial"/>
          <w:i/>
          <w:iCs/>
          <w:color w:val="7A776E"/>
          <w:sz w:val="18"/>
          <w:szCs w:val="18"/>
        </w:rPr>
        <w:t xml:space="preserve">Human Relations</w:t>
      </w:r>
      <w:r>
        <w:rPr>
          <w:rFonts w:ascii="Arial" w:cs="Arial" w:eastAsia="Arial" w:hAnsi="Arial"/>
          <w:color w:val="7A776E"/>
          <w:sz w:val="18"/>
          <w:szCs w:val="18"/>
        </w:rPr>
        <w:t xml:space="preserve"> (1997)</w:t>
      </w:r>
    </w:p>
    <w:p>
      <w:pPr>
        <w:pStyle w:val="ListParagraph"/>
        <w:numPr>
          <w:ilvl w:val="0"/>
          <w:numId w:val="4"/>
        </w:numPr>
        <w:spacing w:after="40" w:line="260"/>
      </w:pPr>
      <w:r>
        <w:rPr>
          <w:rFonts w:ascii="Arial" w:cs="Arial" w:eastAsia="Arial" w:hAnsi="Arial"/>
          <w:color w:val="7A776E"/>
          <w:sz w:val="18"/>
          <w:szCs w:val="18"/>
        </w:rPr>
        <w:t xml:space="preserve">Caulkins &amp; Jordan, </w:t>
      </w:r>
      <w:r>
        <w:rPr>
          <w:rFonts w:ascii="Arial" w:cs="Arial" w:eastAsia="Arial" w:hAnsi="Arial"/>
          <w:i/>
          <w:iCs/>
          <w:color w:val="7A776E"/>
          <w:sz w:val="18"/>
          <w:szCs w:val="18"/>
        </w:rPr>
        <w:t xml:space="preserve">A Companion to Organizational Anthropology</w:t>
      </w:r>
      <w:r>
        <w:rPr>
          <w:rFonts w:ascii="Arial" w:cs="Arial" w:eastAsia="Arial" w:hAnsi="Arial"/>
          <w:color w:val="7A776E"/>
          <w:sz w:val="18"/>
          <w:szCs w:val="18"/>
        </w:rPr>
        <w:t xml:space="preserve"> (2012)</w:t>
      </w:r>
    </w:p>
    <w:p>
      <w:pPr>
        <w:pStyle w:val="ListParagraph"/>
        <w:numPr>
          <w:ilvl w:val="0"/>
          <w:numId w:val="4"/>
        </w:numPr>
        <w:spacing w:after="40" w:line="260"/>
      </w:pPr>
      <w:r>
        <w:rPr>
          <w:rFonts w:ascii="Arial" w:cs="Arial" w:eastAsia="Arial" w:hAnsi="Arial"/>
          <w:color w:val="7A776E"/>
          <w:sz w:val="18"/>
          <w:szCs w:val="18"/>
        </w:rPr>
        <w:t xml:space="preserve">Suchman, “Anthropology as Brand,” and MIT Technology Review, “Field Work in the Tribal Office” (1998) — Xerox PARC</w:t>
      </w:r>
    </w:p>
    <w:p>
      <w:pPr>
        <w:pStyle w:val="ListParagraph"/>
        <w:numPr>
          <w:ilvl w:val="0"/>
          <w:numId w:val="4"/>
        </w:numPr>
        <w:spacing w:after="40" w:line="260"/>
      </w:pPr>
      <w:r>
        <w:rPr>
          <w:rFonts w:ascii="Arial" w:cs="Arial" w:eastAsia="Arial" w:hAnsi="Arial"/>
          <w:color w:val="7A776E"/>
          <w:sz w:val="18"/>
          <w:szCs w:val="18"/>
        </w:rPr>
        <w:t xml:space="preserve">Salvador, Bell &amp; Anderson, “Design Ethnography” (1999) — Genevieve Bell at Intel</w:t>
      </w:r>
    </w:p>
    <w:p>
      <w:pPr>
        <w:pStyle w:val="ListParagraph"/>
        <w:numPr>
          <w:ilvl w:val="0"/>
          <w:numId w:val="4"/>
        </w:numPr>
        <w:spacing w:after="40" w:line="260"/>
      </w:pPr>
      <w:r>
        <w:rPr>
          <w:rFonts w:ascii="Arial" w:cs="Arial" w:eastAsia="Arial" w:hAnsi="Arial"/>
          <w:color w:val="7A776E"/>
          <w:sz w:val="18"/>
          <w:szCs w:val="18"/>
        </w:rPr>
        <w:t xml:space="preserve">ReD Associates case studies, redassociates.com</w:t>
      </w:r>
    </w:p>
    <w:p>
      <w:pPr>
        <w:spacing w:after="60" w:before="180"/>
      </w:pPr>
      <w:r>
        <w:rPr>
          <w:rFonts w:ascii="Arial" w:cs="Arial" w:eastAsia="Arial" w:hAnsi="Arial"/>
          <w:b/>
          <w:bCs/>
          <w:color w:val="0D1F4E"/>
          <w:sz w:val="19"/>
          <w:szCs w:val="19"/>
        </w:rPr>
        <w:t xml:space="preserve">Ethnographic method</w:t>
      </w:r>
    </w:p>
    <w:p>
      <w:pPr>
        <w:pStyle w:val="ListParagraph"/>
        <w:numPr>
          <w:ilvl w:val="0"/>
          <w:numId w:val="4"/>
        </w:numPr>
        <w:spacing w:after="40" w:line="260"/>
      </w:pPr>
      <w:r>
        <w:rPr>
          <w:rFonts w:ascii="Arial" w:cs="Arial" w:eastAsia="Arial" w:hAnsi="Arial"/>
          <w:color w:val="7A776E"/>
          <w:sz w:val="18"/>
          <w:szCs w:val="18"/>
        </w:rPr>
        <w:t xml:space="preserve">Clifford Geertz, </w:t>
      </w:r>
      <w:r>
        <w:rPr>
          <w:rFonts w:ascii="Arial" w:cs="Arial" w:eastAsia="Arial" w:hAnsi="Arial"/>
          <w:i/>
          <w:iCs/>
          <w:color w:val="7A776E"/>
          <w:sz w:val="18"/>
          <w:szCs w:val="18"/>
        </w:rPr>
        <w:t xml:space="preserve">The Interpretation of Cultures</w:t>
      </w:r>
      <w:r>
        <w:rPr>
          <w:rFonts w:ascii="Arial" w:cs="Arial" w:eastAsia="Arial" w:hAnsi="Arial"/>
          <w:color w:val="7A776E"/>
          <w:sz w:val="18"/>
          <w:szCs w:val="18"/>
        </w:rPr>
        <w:t xml:space="preserve"> (1973)</w:t>
      </w:r>
    </w:p>
    <w:p>
      <w:pPr>
        <w:pStyle w:val="ListParagraph"/>
        <w:numPr>
          <w:ilvl w:val="0"/>
          <w:numId w:val="4"/>
        </w:numPr>
        <w:spacing w:after="40" w:line="260"/>
      </w:pPr>
      <w:r>
        <w:rPr>
          <w:rFonts w:ascii="Arial" w:cs="Arial" w:eastAsia="Arial" w:hAnsi="Arial"/>
          <w:color w:val="7A776E"/>
          <w:sz w:val="18"/>
          <w:szCs w:val="18"/>
        </w:rPr>
        <w:t xml:space="preserve">Ponterotto, “Brief Note on the Origins, Evolution, and Meaning of Thick Description,” </w:t>
      </w:r>
      <w:r>
        <w:rPr>
          <w:rFonts w:ascii="Arial" w:cs="Arial" w:eastAsia="Arial" w:hAnsi="Arial"/>
          <w:i/>
          <w:iCs/>
          <w:color w:val="7A776E"/>
          <w:sz w:val="18"/>
          <w:szCs w:val="18"/>
        </w:rPr>
        <w:t xml:space="preserve">The Qualitative Report</w:t>
      </w:r>
      <w:r>
        <w:rPr>
          <w:rFonts w:ascii="Arial" w:cs="Arial" w:eastAsia="Arial" w:hAnsi="Arial"/>
          <w:color w:val="7A776E"/>
          <w:sz w:val="18"/>
          <w:szCs w:val="18"/>
        </w:rPr>
        <w:t xml:space="preserve"> (2006)</w:t>
      </w:r>
    </w:p>
    <w:p>
      <w:pPr>
        <w:pStyle w:val="ListParagraph"/>
        <w:numPr>
          <w:ilvl w:val="0"/>
          <w:numId w:val="4"/>
        </w:numPr>
        <w:spacing w:after="40" w:line="260"/>
      </w:pPr>
      <w:r>
        <w:rPr>
          <w:rFonts w:ascii="Arial" w:cs="Arial" w:eastAsia="Arial" w:hAnsi="Arial"/>
          <w:color w:val="7A776E"/>
          <w:sz w:val="18"/>
          <w:szCs w:val="18"/>
        </w:rPr>
        <w:t xml:space="preserve">John Van Maanen, </w:t>
      </w:r>
      <w:r>
        <w:rPr>
          <w:rFonts w:ascii="Arial" w:cs="Arial" w:eastAsia="Arial" w:hAnsi="Arial"/>
          <w:i/>
          <w:iCs/>
          <w:color w:val="7A776E"/>
          <w:sz w:val="18"/>
          <w:szCs w:val="18"/>
        </w:rPr>
        <w:t xml:space="preserve">Tales of the Field</w:t>
      </w:r>
      <w:r>
        <w:rPr>
          <w:rFonts w:ascii="Arial" w:cs="Arial" w:eastAsia="Arial" w:hAnsi="Arial"/>
          <w:color w:val="7A776E"/>
          <w:sz w:val="18"/>
          <w:szCs w:val="18"/>
        </w:rPr>
        <w:t xml:space="preserve"> (1988/1992)</w:t>
      </w:r>
    </w:p>
    <w:p>
      <w:pPr>
        <w:spacing w:after="60" w:before="180"/>
      </w:pPr>
      <w:r>
        <w:rPr>
          <w:rFonts w:ascii="Arial" w:cs="Arial" w:eastAsia="Arial" w:hAnsi="Arial"/>
          <w:b/>
          <w:bCs/>
          <w:color w:val="0D1F4E"/>
          <w:sz w:val="19"/>
          <w:szCs w:val="19"/>
        </w:rPr>
        <w:t xml:space="preserve">Symbolic/interpretive anthropology</w:t>
      </w:r>
    </w:p>
    <w:p>
      <w:pPr>
        <w:pStyle w:val="ListParagraph"/>
        <w:numPr>
          <w:ilvl w:val="0"/>
          <w:numId w:val="4"/>
        </w:numPr>
        <w:spacing w:after="40" w:line="260"/>
      </w:pPr>
      <w:r>
        <w:rPr>
          <w:rFonts w:ascii="Arial" w:cs="Arial" w:eastAsia="Arial" w:hAnsi="Arial"/>
          <w:color w:val="7A776E"/>
          <w:sz w:val="18"/>
          <w:szCs w:val="18"/>
        </w:rPr>
        <w:t xml:space="preserve">Clifford Geertz, </w:t>
      </w:r>
      <w:r>
        <w:rPr>
          <w:rFonts w:ascii="Arial" w:cs="Arial" w:eastAsia="Arial" w:hAnsi="Arial"/>
          <w:i/>
          <w:iCs/>
          <w:color w:val="7A776E"/>
          <w:sz w:val="18"/>
          <w:szCs w:val="18"/>
        </w:rPr>
        <w:t xml:space="preserve">The Interpretation of Cultures</w:t>
      </w:r>
      <w:r>
        <w:rPr>
          <w:rFonts w:ascii="Arial" w:cs="Arial" w:eastAsia="Arial" w:hAnsi="Arial"/>
          <w:color w:val="7A776E"/>
          <w:sz w:val="18"/>
          <w:szCs w:val="18"/>
        </w:rPr>
        <w:t xml:space="preserve"> (1973)</w:t>
      </w:r>
    </w:p>
    <w:p>
      <w:pPr>
        <w:pStyle w:val="ListParagraph"/>
        <w:numPr>
          <w:ilvl w:val="0"/>
          <w:numId w:val="4"/>
        </w:numPr>
        <w:spacing w:after="40" w:line="260"/>
      </w:pPr>
      <w:r>
        <w:rPr>
          <w:rFonts w:ascii="Arial" w:cs="Arial" w:eastAsia="Arial" w:hAnsi="Arial"/>
          <w:color w:val="7A776E"/>
          <w:sz w:val="18"/>
          <w:szCs w:val="18"/>
        </w:rPr>
        <w:t xml:space="preserve">Victor Turner, </w:t>
      </w:r>
      <w:r>
        <w:rPr>
          <w:rFonts w:ascii="Arial" w:cs="Arial" w:eastAsia="Arial" w:hAnsi="Arial"/>
          <w:i/>
          <w:iCs/>
          <w:color w:val="7A776E"/>
          <w:sz w:val="18"/>
          <w:szCs w:val="18"/>
        </w:rPr>
        <w:t xml:space="preserve">The Ritual Process: Structure and Anti-Structure</w:t>
      </w:r>
      <w:r>
        <w:rPr>
          <w:rFonts w:ascii="Arial" w:cs="Arial" w:eastAsia="Arial" w:hAnsi="Arial"/>
          <w:color w:val="7A776E"/>
          <w:sz w:val="18"/>
          <w:szCs w:val="18"/>
        </w:rPr>
        <w:t xml:space="preserve"> (1969)</w:t>
      </w:r>
    </w:p>
    <w:p>
      <w:pPr>
        <w:pStyle w:val="ListParagraph"/>
        <w:numPr>
          <w:ilvl w:val="0"/>
          <w:numId w:val="4"/>
        </w:numPr>
        <w:spacing w:after="40" w:line="260"/>
      </w:pPr>
      <w:r>
        <w:rPr>
          <w:rFonts w:ascii="Arial" w:cs="Arial" w:eastAsia="Arial" w:hAnsi="Arial"/>
          <w:color w:val="7A776E"/>
          <w:sz w:val="18"/>
          <w:szCs w:val="18"/>
        </w:rPr>
        <w:t xml:space="preserve">Mary Douglas, </w:t>
      </w:r>
      <w:r>
        <w:rPr>
          <w:rFonts w:ascii="Arial" w:cs="Arial" w:eastAsia="Arial" w:hAnsi="Arial"/>
          <w:i/>
          <w:iCs/>
          <w:color w:val="7A776E"/>
          <w:sz w:val="18"/>
          <w:szCs w:val="18"/>
        </w:rPr>
        <w:t xml:space="preserve">Purity and Danger</w:t>
      </w:r>
      <w:r>
        <w:rPr>
          <w:rFonts w:ascii="Arial" w:cs="Arial" w:eastAsia="Arial" w:hAnsi="Arial"/>
          <w:color w:val="7A776E"/>
          <w:sz w:val="18"/>
          <w:szCs w:val="18"/>
        </w:rPr>
        <w:t xml:space="preserve"> (1966)</w:t>
      </w:r>
    </w:p>
    <w:p>
      <w:pPr>
        <w:pStyle w:val="ListParagraph"/>
        <w:numPr>
          <w:ilvl w:val="0"/>
          <w:numId w:val="4"/>
        </w:numPr>
        <w:spacing w:after="40" w:line="260"/>
      </w:pPr>
      <w:r>
        <w:rPr>
          <w:rFonts w:ascii="Arial" w:cs="Arial" w:eastAsia="Arial" w:hAnsi="Arial"/>
          <w:color w:val="7A776E"/>
          <w:sz w:val="18"/>
          <w:szCs w:val="18"/>
        </w:rPr>
        <w:t xml:space="preserve">Trice &amp; Beyer, “Studying Organizational Cultures Through Rites and Ceremonials,” </w:t>
      </w:r>
      <w:r>
        <w:rPr>
          <w:rFonts w:ascii="Arial" w:cs="Arial" w:eastAsia="Arial" w:hAnsi="Arial"/>
          <w:i/>
          <w:iCs/>
          <w:color w:val="7A776E"/>
          <w:sz w:val="18"/>
          <w:szCs w:val="18"/>
        </w:rPr>
        <w:t xml:space="preserve">Academy of Management Review</w:t>
      </w:r>
      <w:r>
        <w:rPr>
          <w:rFonts w:ascii="Arial" w:cs="Arial" w:eastAsia="Arial" w:hAnsi="Arial"/>
          <w:color w:val="7A776E"/>
          <w:sz w:val="18"/>
          <w:szCs w:val="18"/>
        </w:rPr>
        <w:t xml:space="preserve"> (1984)</w:t>
      </w:r>
    </w:p>
    <w:p>
      <w:pPr>
        <w:spacing w:after="60" w:before="180"/>
      </w:pPr>
      <w:r>
        <w:rPr>
          <w:rFonts w:ascii="Arial" w:cs="Arial" w:eastAsia="Arial" w:hAnsi="Arial"/>
          <w:b/>
          <w:bCs/>
          <w:color w:val="0D1F4E"/>
          <w:sz w:val="19"/>
          <w:szCs w:val="19"/>
        </w:rPr>
        <w:t xml:space="preserve">Reciprocity and exchange</w:t>
      </w:r>
    </w:p>
    <w:p>
      <w:pPr>
        <w:pStyle w:val="ListParagraph"/>
        <w:numPr>
          <w:ilvl w:val="0"/>
          <w:numId w:val="4"/>
        </w:numPr>
        <w:spacing w:after="40" w:line="260"/>
      </w:pPr>
      <w:r>
        <w:rPr>
          <w:rFonts w:ascii="Arial" w:cs="Arial" w:eastAsia="Arial" w:hAnsi="Arial"/>
          <w:color w:val="7A776E"/>
          <w:sz w:val="18"/>
          <w:szCs w:val="18"/>
        </w:rPr>
        <w:t xml:space="preserve">Marcel Mauss, </w:t>
      </w:r>
      <w:r>
        <w:rPr>
          <w:rFonts w:ascii="Arial" w:cs="Arial" w:eastAsia="Arial" w:hAnsi="Arial"/>
          <w:i/>
          <w:iCs/>
          <w:color w:val="7A776E"/>
          <w:sz w:val="18"/>
          <w:szCs w:val="18"/>
        </w:rPr>
        <w:t xml:space="preserve">The Gift</w:t>
      </w:r>
      <w:r>
        <w:rPr>
          <w:rFonts w:ascii="Arial" w:cs="Arial" w:eastAsia="Arial" w:hAnsi="Arial"/>
          <w:color w:val="7A776E"/>
          <w:sz w:val="18"/>
          <w:szCs w:val="18"/>
        </w:rPr>
        <w:t xml:space="preserve"> (1925)</w:t>
      </w:r>
    </w:p>
    <w:p>
      <w:pPr>
        <w:pStyle w:val="ListParagraph"/>
        <w:numPr>
          <w:ilvl w:val="0"/>
          <w:numId w:val="4"/>
        </w:numPr>
        <w:spacing w:after="40" w:line="260"/>
      </w:pPr>
      <w:r>
        <w:rPr>
          <w:rFonts w:ascii="Arial" w:cs="Arial" w:eastAsia="Arial" w:hAnsi="Arial"/>
          <w:color w:val="7A776E"/>
          <w:sz w:val="18"/>
          <w:szCs w:val="18"/>
        </w:rPr>
        <w:t xml:space="preserve">Marshall Sahlins, </w:t>
      </w:r>
      <w:r>
        <w:rPr>
          <w:rFonts w:ascii="Arial" w:cs="Arial" w:eastAsia="Arial" w:hAnsi="Arial"/>
          <w:i/>
          <w:iCs/>
          <w:color w:val="7A776E"/>
          <w:sz w:val="18"/>
          <w:szCs w:val="18"/>
        </w:rPr>
        <w:t xml:space="preserve">Stone Age Economics</w:t>
      </w:r>
      <w:r>
        <w:rPr>
          <w:rFonts w:ascii="Arial" w:cs="Arial" w:eastAsia="Arial" w:hAnsi="Arial"/>
          <w:color w:val="7A776E"/>
          <w:sz w:val="18"/>
          <w:szCs w:val="18"/>
        </w:rPr>
        <w:t xml:space="preserve"> (1972)</w:t>
      </w:r>
    </w:p>
    <w:p>
      <w:pPr>
        <w:pStyle w:val="ListParagraph"/>
        <w:numPr>
          <w:ilvl w:val="0"/>
          <w:numId w:val="4"/>
        </w:numPr>
        <w:spacing w:after="40" w:line="260"/>
      </w:pPr>
      <w:r>
        <w:rPr>
          <w:rFonts w:ascii="Arial" w:cs="Arial" w:eastAsia="Arial" w:hAnsi="Arial"/>
          <w:color w:val="7A776E"/>
          <w:sz w:val="18"/>
          <w:szCs w:val="18"/>
        </w:rPr>
        <w:t xml:space="preserve">Bronisław Malinowski, </w:t>
      </w:r>
      <w:r>
        <w:rPr>
          <w:rFonts w:ascii="Arial" w:cs="Arial" w:eastAsia="Arial" w:hAnsi="Arial"/>
          <w:i/>
          <w:iCs/>
          <w:color w:val="7A776E"/>
          <w:sz w:val="18"/>
          <w:szCs w:val="18"/>
        </w:rPr>
        <w:t xml:space="preserve">Argonauts of the Western Pacific</w:t>
      </w:r>
      <w:r>
        <w:rPr>
          <w:rFonts w:ascii="Arial" w:cs="Arial" w:eastAsia="Arial" w:hAnsi="Arial"/>
          <w:color w:val="7A776E"/>
          <w:sz w:val="18"/>
          <w:szCs w:val="18"/>
        </w:rPr>
        <w:t xml:space="preserve"> (1922)</w:t>
      </w:r>
    </w:p>
    <w:p>
      <w:pPr>
        <w:pStyle w:val="ListParagraph"/>
        <w:numPr>
          <w:ilvl w:val="0"/>
          <w:numId w:val="4"/>
        </w:numPr>
        <w:spacing w:after="40" w:line="260"/>
      </w:pPr>
      <w:r>
        <w:rPr>
          <w:rFonts w:ascii="Arial" w:cs="Arial" w:eastAsia="Arial" w:hAnsi="Arial"/>
          <w:color w:val="7A776E"/>
          <w:sz w:val="18"/>
          <w:szCs w:val="18"/>
        </w:rPr>
        <w:t xml:space="preserve">Krackhardt &amp; Hanson, “Informal Networks: The Company Behind the Chart,” </w:t>
      </w:r>
      <w:r>
        <w:rPr>
          <w:rFonts w:ascii="Arial" w:cs="Arial" w:eastAsia="Arial" w:hAnsi="Arial"/>
          <w:i/>
          <w:iCs/>
          <w:color w:val="7A776E"/>
          <w:sz w:val="18"/>
          <w:szCs w:val="18"/>
        </w:rPr>
        <w:t xml:space="preserve">Harvard Business Review</w:t>
      </w:r>
      <w:r>
        <w:rPr>
          <w:rFonts w:ascii="Arial" w:cs="Arial" w:eastAsia="Arial" w:hAnsi="Arial"/>
          <w:color w:val="7A776E"/>
          <w:sz w:val="18"/>
          <w:szCs w:val="18"/>
        </w:rPr>
        <w:t xml:space="preserve"> (1993)</w:t>
      </w:r>
    </w:p>
    <w:p>
      <w:pPr>
        <w:spacing w:after="60" w:before="180"/>
      </w:pPr>
      <w:r>
        <w:rPr>
          <w:rFonts w:ascii="Arial" w:cs="Arial" w:eastAsia="Arial" w:hAnsi="Arial"/>
          <w:b/>
          <w:bCs/>
          <w:color w:val="0D1F4E"/>
          <w:sz w:val="19"/>
          <w:szCs w:val="19"/>
        </w:rPr>
        <w:t xml:space="preserve">Liminality and rites of passage</w:t>
      </w:r>
    </w:p>
    <w:p>
      <w:pPr>
        <w:pStyle w:val="ListParagraph"/>
        <w:numPr>
          <w:ilvl w:val="0"/>
          <w:numId w:val="4"/>
        </w:numPr>
        <w:spacing w:after="40" w:line="260"/>
      </w:pPr>
      <w:r>
        <w:rPr>
          <w:rFonts w:ascii="Arial" w:cs="Arial" w:eastAsia="Arial" w:hAnsi="Arial"/>
          <w:color w:val="7A776E"/>
          <w:sz w:val="18"/>
          <w:szCs w:val="18"/>
        </w:rPr>
        <w:t xml:space="preserve">Arnold van Gennep, </w:t>
      </w:r>
      <w:r>
        <w:rPr>
          <w:rFonts w:ascii="Arial" w:cs="Arial" w:eastAsia="Arial" w:hAnsi="Arial"/>
          <w:i/>
          <w:iCs/>
          <w:color w:val="7A776E"/>
          <w:sz w:val="18"/>
          <w:szCs w:val="18"/>
        </w:rPr>
        <w:t xml:space="preserve">Les rites de passage</w:t>
      </w:r>
      <w:r>
        <w:rPr>
          <w:rFonts w:ascii="Arial" w:cs="Arial" w:eastAsia="Arial" w:hAnsi="Arial"/>
          <w:color w:val="7A776E"/>
          <w:sz w:val="18"/>
          <w:szCs w:val="18"/>
        </w:rPr>
        <w:t xml:space="preserve"> (1909)</w:t>
      </w:r>
    </w:p>
    <w:p>
      <w:pPr>
        <w:pStyle w:val="ListParagraph"/>
        <w:numPr>
          <w:ilvl w:val="0"/>
          <w:numId w:val="4"/>
        </w:numPr>
        <w:spacing w:after="40" w:line="260"/>
      </w:pPr>
      <w:r>
        <w:rPr>
          <w:rFonts w:ascii="Arial" w:cs="Arial" w:eastAsia="Arial" w:hAnsi="Arial"/>
          <w:color w:val="7A776E"/>
          <w:sz w:val="18"/>
          <w:szCs w:val="18"/>
        </w:rPr>
        <w:t xml:space="preserve">Victor Turner, </w:t>
      </w:r>
      <w:r>
        <w:rPr>
          <w:rFonts w:ascii="Arial" w:cs="Arial" w:eastAsia="Arial" w:hAnsi="Arial"/>
          <w:i/>
          <w:iCs/>
          <w:color w:val="7A776E"/>
          <w:sz w:val="18"/>
          <w:szCs w:val="18"/>
        </w:rPr>
        <w:t xml:space="preserve">The Ritual Process</w:t>
      </w:r>
      <w:r>
        <w:rPr>
          <w:rFonts w:ascii="Arial" w:cs="Arial" w:eastAsia="Arial" w:hAnsi="Arial"/>
          <w:color w:val="7A776E"/>
          <w:sz w:val="18"/>
          <w:szCs w:val="18"/>
        </w:rPr>
        <w:t xml:space="preserve"> (1969); “Liminal to Liminoid, in Play, Flow, and Ritual” (1974)</w:t>
      </w:r>
    </w:p>
    <w:p>
      <w:pPr>
        <w:pStyle w:val="ListParagraph"/>
        <w:numPr>
          <w:ilvl w:val="0"/>
          <w:numId w:val="4"/>
        </w:numPr>
        <w:spacing w:after="40" w:line="260"/>
      </w:pPr>
      <w:r>
        <w:rPr>
          <w:rFonts w:ascii="Arial" w:cs="Arial" w:eastAsia="Arial" w:hAnsi="Arial"/>
          <w:color w:val="7A776E"/>
          <w:sz w:val="18"/>
          <w:szCs w:val="18"/>
        </w:rPr>
        <w:t xml:space="preserve">William Bridges, </w:t>
      </w:r>
      <w:r>
        <w:rPr>
          <w:rFonts w:ascii="Arial" w:cs="Arial" w:eastAsia="Arial" w:hAnsi="Arial"/>
          <w:i/>
          <w:iCs/>
          <w:color w:val="7A776E"/>
          <w:sz w:val="18"/>
          <w:szCs w:val="18"/>
        </w:rPr>
        <w:t xml:space="preserve">Managing Transitions</w:t>
      </w:r>
      <w:r>
        <w:rPr>
          <w:rFonts w:ascii="Arial" w:cs="Arial" w:eastAsia="Arial" w:hAnsi="Arial"/>
          <w:color w:val="7A776E"/>
          <w:sz w:val="18"/>
          <w:szCs w:val="18"/>
        </w:rPr>
        <w:t xml:space="preserve"> (1991)</w:t>
      </w:r>
    </w:p>
    <w:p>
      <w:pPr>
        <w:pStyle w:val="ListParagraph"/>
        <w:numPr>
          <w:ilvl w:val="0"/>
          <w:numId w:val="4"/>
        </w:numPr>
        <w:spacing w:after="40" w:line="260"/>
      </w:pPr>
      <w:r>
        <w:rPr>
          <w:rFonts w:ascii="Arial" w:cs="Arial" w:eastAsia="Arial" w:hAnsi="Arial"/>
          <w:color w:val="7A776E"/>
          <w:sz w:val="18"/>
          <w:szCs w:val="18"/>
        </w:rPr>
        <w:t xml:space="preserve">Söderlund &amp; Borg, “Liminality in Management and Organization Studies,” </w:t>
      </w:r>
      <w:r>
        <w:rPr>
          <w:rFonts w:ascii="Arial" w:cs="Arial" w:eastAsia="Arial" w:hAnsi="Arial"/>
          <w:i/>
          <w:iCs/>
          <w:color w:val="7A776E"/>
          <w:sz w:val="18"/>
          <w:szCs w:val="18"/>
        </w:rPr>
        <w:t xml:space="preserve">International Journal of Management Reviews</w:t>
      </w:r>
      <w:r>
        <w:rPr>
          <w:rFonts w:ascii="Arial" w:cs="Arial" w:eastAsia="Arial" w:hAnsi="Arial"/>
          <w:color w:val="7A776E"/>
          <w:sz w:val="18"/>
          <w:szCs w:val="18"/>
        </w:rPr>
        <w:t xml:space="preserve"> (2017)</w:t>
      </w:r>
    </w:p>
    <w:p>
      <w:pPr>
        <w:pStyle w:val="ListParagraph"/>
        <w:numPr>
          <w:ilvl w:val="0"/>
          <w:numId w:val="4"/>
        </w:numPr>
        <w:spacing w:after="40" w:line="260"/>
      </w:pPr>
      <w:r>
        <w:rPr>
          <w:rFonts w:ascii="Arial" w:cs="Arial" w:eastAsia="Arial" w:hAnsi="Arial"/>
          <w:color w:val="7A776E"/>
          <w:sz w:val="18"/>
          <w:szCs w:val="18"/>
        </w:rPr>
        <w:t xml:space="preserve">Czarniawska &amp; Mazza, “Consulting as a Liminal Space,” </w:t>
      </w:r>
      <w:r>
        <w:rPr>
          <w:rFonts w:ascii="Arial" w:cs="Arial" w:eastAsia="Arial" w:hAnsi="Arial"/>
          <w:i/>
          <w:iCs/>
          <w:color w:val="7A776E"/>
          <w:sz w:val="18"/>
          <w:szCs w:val="18"/>
        </w:rPr>
        <w:t xml:space="preserve">Organization Studies</w:t>
      </w:r>
      <w:r>
        <w:rPr>
          <w:rFonts w:ascii="Arial" w:cs="Arial" w:eastAsia="Arial" w:hAnsi="Arial"/>
          <w:color w:val="7A776E"/>
          <w:sz w:val="18"/>
          <w:szCs w:val="18"/>
        </w:rPr>
        <w:t xml:space="preserve"> (2003)</w:t>
      </w:r>
    </w:p>
    <w:p>
      <w:pPr>
        <w:spacing w:after="60" w:before="180"/>
      </w:pPr>
      <w:r>
        <w:rPr>
          <w:rFonts w:ascii="Arial" w:cs="Arial" w:eastAsia="Arial" w:hAnsi="Arial"/>
          <w:b/>
          <w:bCs/>
          <w:color w:val="0D1F4E"/>
          <w:sz w:val="19"/>
          <w:szCs w:val="19"/>
        </w:rPr>
        <w:t xml:space="preserve">Practice theory and habitus</w:t>
      </w:r>
    </w:p>
    <w:p>
      <w:pPr>
        <w:pStyle w:val="ListParagraph"/>
        <w:numPr>
          <w:ilvl w:val="0"/>
          <w:numId w:val="4"/>
        </w:numPr>
        <w:spacing w:after="40" w:line="260"/>
      </w:pPr>
      <w:r>
        <w:rPr>
          <w:rFonts w:ascii="Arial" w:cs="Arial" w:eastAsia="Arial" w:hAnsi="Arial"/>
          <w:color w:val="7A776E"/>
          <w:sz w:val="18"/>
          <w:szCs w:val="18"/>
        </w:rPr>
        <w:t xml:space="preserve">Pierre Bourdieu, </w:t>
      </w:r>
      <w:r>
        <w:rPr>
          <w:rFonts w:ascii="Arial" w:cs="Arial" w:eastAsia="Arial" w:hAnsi="Arial"/>
          <w:i/>
          <w:iCs/>
          <w:color w:val="7A776E"/>
          <w:sz w:val="18"/>
          <w:szCs w:val="18"/>
        </w:rPr>
        <w:t xml:space="preserve">Outline of a Theory of Practice</w:t>
      </w:r>
      <w:r>
        <w:rPr>
          <w:rFonts w:ascii="Arial" w:cs="Arial" w:eastAsia="Arial" w:hAnsi="Arial"/>
          <w:color w:val="7A776E"/>
          <w:sz w:val="18"/>
          <w:szCs w:val="18"/>
        </w:rPr>
        <w:t xml:space="preserve"> (1977); </w:t>
      </w:r>
      <w:r>
        <w:rPr>
          <w:rFonts w:ascii="Arial" w:cs="Arial" w:eastAsia="Arial" w:hAnsi="Arial"/>
          <w:i/>
          <w:iCs/>
          <w:color w:val="7A776E"/>
          <w:sz w:val="18"/>
          <w:szCs w:val="18"/>
        </w:rPr>
        <w:t xml:space="preserve">The Logic of Practice</w:t>
      </w:r>
      <w:r>
        <w:rPr>
          <w:rFonts w:ascii="Arial" w:cs="Arial" w:eastAsia="Arial" w:hAnsi="Arial"/>
          <w:color w:val="7A776E"/>
          <w:sz w:val="18"/>
          <w:szCs w:val="18"/>
        </w:rPr>
        <w:t xml:space="preserve"> (1990)</w:t>
      </w:r>
    </w:p>
    <w:p>
      <w:pPr>
        <w:pStyle w:val="ListParagraph"/>
        <w:numPr>
          <w:ilvl w:val="0"/>
          <w:numId w:val="4"/>
        </w:numPr>
        <w:spacing w:after="40" w:line="260"/>
      </w:pPr>
      <w:r>
        <w:rPr>
          <w:rFonts w:ascii="Arial" w:cs="Arial" w:eastAsia="Arial" w:hAnsi="Arial"/>
          <w:color w:val="7A776E"/>
          <w:sz w:val="18"/>
          <w:szCs w:val="18"/>
        </w:rPr>
        <w:t xml:space="preserve">Baruch Shimoni, “Bringing Agency and Social Structure Back Into Organization Development: Toward a Practice of Habitus Consulting,” </w:t>
      </w:r>
      <w:r>
        <w:rPr>
          <w:rFonts w:ascii="Arial" w:cs="Arial" w:eastAsia="Arial" w:hAnsi="Arial"/>
          <w:i/>
          <w:iCs/>
          <w:color w:val="7A776E"/>
          <w:sz w:val="18"/>
          <w:szCs w:val="18"/>
        </w:rPr>
        <w:t xml:space="preserve">Journal of Applied Behavioral Science</w:t>
      </w:r>
      <w:r>
        <w:rPr>
          <w:rFonts w:ascii="Arial" w:cs="Arial" w:eastAsia="Arial" w:hAnsi="Arial"/>
          <w:color w:val="7A776E"/>
          <w:sz w:val="18"/>
          <w:szCs w:val="18"/>
        </w:rPr>
        <w:t xml:space="preserve"> (2018)</w:t>
      </w:r>
    </w:p>
    <w:p>
      <w:pPr>
        <w:pStyle w:val="ListParagraph"/>
        <w:numPr>
          <w:ilvl w:val="0"/>
          <w:numId w:val="4"/>
        </w:numPr>
        <w:spacing w:after="40" w:line="260"/>
      </w:pPr>
      <w:r>
        <w:rPr>
          <w:rFonts w:ascii="Arial" w:cs="Arial" w:eastAsia="Arial" w:hAnsi="Arial"/>
          <w:color w:val="7A776E"/>
          <w:sz w:val="18"/>
          <w:szCs w:val="18"/>
        </w:rPr>
        <w:t xml:space="preserve">“What is Resistance to Change? A Habitus-Oriented Approach,” </w:t>
      </w:r>
      <w:r>
        <w:rPr>
          <w:rFonts w:ascii="Arial" w:cs="Arial" w:eastAsia="Arial" w:hAnsi="Arial"/>
          <w:i/>
          <w:iCs/>
          <w:color w:val="7A776E"/>
          <w:sz w:val="18"/>
          <w:szCs w:val="18"/>
        </w:rPr>
        <w:t xml:space="preserve">Academy of Management Perspectives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2026-08-08T23:43:55.151Z</dcterms:created>
  <dcterms:modified xsi:type="dcterms:W3CDTF">2026-08-08T23:43:55.154Z</dcterms:modified>
</cp:coreProperties>
</file>

<file path=docProps/custom.xml><?xml version="1.0" encoding="utf-8"?>
<Properties xmlns="http://schemas.openxmlformats.org/officeDocument/2006/custom-properties" xmlns:vt="http://schemas.openxmlformats.org/officeDocument/2006/docPropsVTypes"/>
</file>