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919B" w:sz="18" w:space="6"/>
        </w:pBdr>
        <w:spacing w:after="0" w:before="1800"/>
        <w:jc w:val="left"/>
      </w:pPr>
      <w:r>
        <w:rPr>
          <w:b/>
          <w:bCs/>
          <w:color w:val="0E7C86"/>
          <w:spacing w:val="60"/>
          <w:sz w:val="28"/>
          <w:szCs w:val="28"/>
        </w:rPr>
        <w:t xml:space="preserve">SYNOVIA FUSION</w:t>
      </w:r>
    </w:p>
    <w:p>
      <w:pPr>
        <w:spacing w:after="0" w:before="260"/>
      </w:pPr>
      <w:r>
        <w:rPr>
          <w:b/>
          <w:bCs/>
          <w:color w:val="0A2540"/>
          <w:sz w:val="64"/>
          <w:szCs w:val="64"/>
        </w:rPr>
        <w:t xml:space="preserve">Fusion Flow</w:t>
      </w:r>
    </w:p>
    <w:p>
      <w:pPr>
        <w:spacing w:after="0" w:before="40"/>
      </w:pPr>
      <w:r>
        <w:rPr>
          <w:color w:val="12355B"/>
          <w:sz w:val="40"/>
          <w:szCs w:val="40"/>
        </w:rPr>
        <w:t xml:space="preserve">Functional Specification — Release 1</w:t>
      </w:r>
    </w:p>
    <w:p>
      <w:pPr>
        <w:spacing w:after="0" w:before="80"/>
      </w:pPr>
      <w:r>
        <w:rPr>
          <w:color w:val="1C2A36"/>
          <w:sz w:val="24"/>
          <w:szCs w:val="24"/>
        </w:rPr>
        <w:t xml:space="preserve">TSS Declaration Automation Platform (GB → NI, Windsor Framework)</w:t>
      </w:r>
    </w:p>
    <w:p>
      <w:pPr>
        <w:pBdr>
          <w:top w:val="single" w:color="C9D2DA" w:sz="6" w:space="6"/>
        </w:pBdr>
        <w:spacing w:after="0" w:before="700"/>
      </w:pPr>
      <w:r>
        <w:rPr>
          <w:b/>
          <w:bCs/>
          <w:color w:val="0A2540"/>
          <w:sz w:val="22"/>
          <w:szCs w:val="22"/>
        </w:rPr>
        <w:t xml:space="preserve">Synovia Digital</w:t>
      </w:r>
    </w:p>
    <w:p>
      <w:pPr>
        <w:spacing w:after="120" w:line="276"/>
      </w:pPr>
      <w:r>
        <w:rPr>
          <w:color w:val="1C2A36"/>
        </w:rPr>
        <w:t xml:space="preserve">Aligned to: </w:t>
      </w:r>
      <w:r>
        <w:rPr>
          <w:b/>
          <w:bCs/>
        </w:rPr>
        <w:t xml:space="preserve">TSS API Reference v2.9.5</w:t>
      </w:r>
      <w:r>
        <w:t xml:space="preserve"> (Apr 2026) · </w:t>
      </w:r>
      <w:r>
        <w:rPr>
          <w:b/>
          <w:bCs/>
        </w:rPr>
        <w:t xml:space="preserve">TSS Data Guide</w:t>
      </w:r>
      <w:r>
        <w:t xml:space="preserve"> (June 2026) · build baseline </w:t>
      </w:r>
      <w:r>
        <w:rPr>
          <w:b/>
          <w:bCs/>
        </w:rPr>
        <w:t xml:space="preserve">Fusion Release 4</w:t>
      </w:r>
    </w:p>
    <w:p>
      <w:pPr>
        <w:spacing w:after="120" w:line="276"/>
      </w:pPr>
      <w:r>
        <w:t xml:space="preserve">Status: </w:t>
      </w:r>
      <w:r>
        <w:rPr>
          <w:b/>
          <w:bCs/>
          <w:color w:val="FFFFFF"/>
          <w:sz w:val="16"/>
          <w:szCs w:val="16"/>
          <w:shd w:fill="0E7C86" w:val="clear"/>
        </w:rPr>
        <w:t xml:space="preserve"> DRAFT FOR REVIEW </w:t>
      </w:r>
      <w:r>
        <w:t xml:space="preserve">   Classification: Internal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0A254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16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Document</w:t>
            </w:r>
          </w:p>
        </w:tc>
        <w:tc>
          <w:tcPr>
            <w:tcW w:type="dxa" w:w="3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Fusion Flow R1 Functional Specification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Version</w:t>
            </w:r>
          </w:p>
        </w:tc>
        <w:tc>
          <w:tcPr>
            <w:tcW w:type="dxa" w:w="30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0.1 (Draft)</w:t>
            </w:r>
          </w:p>
        </w:tc>
      </w:tr>
      <w:tr>
        <w:tc>
          <w:tcPr>
            <w:tcW w:type="dxa" w:w="16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Owner</w:t>
            </w:r>
          </w:p>
        </w:tc>
        <w:tc>
          <w:tcPr>
            <w:tcW w:type="dxa" w:w="3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Integration &amp; Systems Engineering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Date</w:t>
            </w:r>
          </w:p>
        </w:tc>
        <w:tc>
          <w:tcPr>
            <w:tcW w:type="dxa" w:w="30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25 June 2026</w:t>
            </w:r>
          </w:p>
        </w:tc>
      </w:tr>
      <w:tr>
        <w:tc>
          <w:tcPr>
            <w:tcW w:type="dxa" w:w="16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Platform</w:t>
            </w:r>
          </w:p>
        </w:tc>
        <w:tc>
          <w:tcPr>
            <w:tcW w:type="dxa" w:w="3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Synovia Fusion / Fusion Flow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Stack</w:t>
            </w:r>
          </w:p>
        </w:tc>
        <w:tc>
          <w:tcPr>
            <w:tcW w:type="dxa" w:w="30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Python 3.11, Azure SQL, pyodbc, Flask, Docker</w:t>
            </w:r>
          </w:p>
        </w:tc>
      </w:tr>
      <w:tr>
        <w:tc>
          <w:tcPr>
            <w:tcW w:type="dxa" w:w="16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Spec source</w:t>
            </w:r>
          </w:p>
        </w:tc>
        <w:tc>
          <w:tcPr>
            <w:tcW w:type="dxa" w:w="3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TSS API v2.9.5; Data Guide Jun 2026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Pilot client</w:t>
            </w:r>
          </w:p>
        </w:tc>
        <w:tc>
          <w:tcPr>
            <w:tcW w:type="dxa" w:w="30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Birkdale (BKD)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Purpose of this document. </w:t>
      </w:r>
      <w:r>
        <w:t xml:space="preserve">This Functional Specification defines the Release 1 scope, schema architecture, module behaviour, and TSS API integration for Fusion Flow. Each functional module concludes with a ready-to-use build prompt that drives generation of the corresponding implementation. Functional requirements are tagged (e.g. </w:t>
      </w:r>
      <w:r>
        <w:rPr>
          <w:b/>
          <w:bCs/>
        </w:rPr>
        <w:t xml:space="preserve">ING-FR-01</w:t>
      </w:r>
      <w:r>
        <w:t xml:space="preserve">) for traceability into delivery and test.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0A254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color w:val="0A2540"/>
        </w:rPr>
        <w:t xml:space="preserve">1. Introduction &amp; Purpose</w:t>
      </w:r>
    </w:p>
    <w:p>
      <w:pPr>
        <w:spacing w:after="120" w:line="276"/>
      </w:pPr>
      <w:r>
        <w:t xml:space="preserve">Fusion Flow is a multi-tenant customs-declaration automation platform that ingests commercial movement data from principals (clients) moving goods from Great Britain to Northern Ireland under the Windsor Framework, enriches and validates that data into TSS-shaped submission objects, submits the required declarations to the Trader Support Service (TSS) API, and reconciles the responses TSS returns from HMRC/CDS. </w:t>
      </w:r>
      <w:r>
        <w:t xml:space="preserve">Release 1 establishes the end-to-end pipeline for the simplified procedure (Route A: ENS → SFD → GMR → Supplementary Declaration) with Birkdale (BKD) as the pilot client, on a schema architecture that is multi-tenant from day one.</w:t>
      </w:r>
    </w:p>
    <w:p>
      <w:pPr>
        <w:spacing w:after="120" w:line="276"/>
      </w:pPr>
      <w:r>
        <w:rPr>
          <w:b/>
          <w:bCs/>
        </w:rPr>
        <w:t xml:space="preserve">Design principles. </w:t>
      </w:r>
      <w:r>
        <w:t xml:space="preserve">Strict layer separation by schema; one canonical execution/transaction spine; full field-level change auditing; a single shared process/status vocabulary across every module; verbatim API request/response capture; and configuration-driven client behaviour so that onboarding a new principal is a CFG exercise, not a code change.</w:t>
      </w:r>
    </w:p>
    <w:p>
      <w:pPr>
        <w:pStyle w:val="Heading1"/>
        <w:spacing w:after="160" w:before="320"/>
      </w:pPr>
      <w:r>
        <w:rPr>
          <w:color w:val="0A2540"/>
        </w:rPr>
        <w:t xml:space="preserve">2. Release 1 Scope</w:t>
      </w:r>
    </w:p>
    <w:p>
      <w:pPr>
        <w:pStyle w:val="Heading3"/>
        <w:spacing w:after="100" w:before="200"/>
      </w:pPr>
      <w:r>
        <w:rPr>
          <w:color w:val="0E7C86"/>
        </w:rPr>
        <w:t xml:space="preserve">2.1 In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Included in Release 1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Route A end-to-end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 Header → Consignment → Goods (≤99) → submit → SFD lookup → GMR create/submit/read → SDI lookup → goods valuation update → SDI submit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Pilot client BKD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Multi-tenant architecture; BKD productionised first; PLE (agent / actAs) as fast-follow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All 11 schemas provisioned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ING, EXC, LOG, PRS, STG, API, BKD (client), CTL, ARC, SRV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Five functional modules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Ingestion, Data Processing, Submission Management, Manage/Monitor, Reporting &amp; Analytics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Choice-value bootstrap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Cache ~57 GET /choice_values reference sets into CFG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Pre-flight &amp; reconciliation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Permission Grant validation, response pull-back to BKD, field-level reconciliation, CTL latest-status, ARC archive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 version switch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New API default with New/Old switch scaffolding in CFG.API_Version</w:t>
            </w:r>
          </w:p>
        </w:tc>
      </w:tr>
    </w:tbl>
    <w:p>
      <w:pPr>
        <w:pStyle w:val="Heading3"/>
        <w:spacing w:after="100" w:before="200"/>
      </w:pPr>
      <w:r>
        <w:rPr>
          <w:color w:val="0E7C86"/>
        </w:rPr>
        <w:t xml:space="preserve">2.2 Deferred (Release 2+)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Deferred capability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Route B — Internal Market Movement (IMMI)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R2 (align_ukims, H1↔H8 reclassify)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Route C — Full Frontier Declaration (FFD)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R2 (H1–H4 datasets)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Route D — Maritime Inventory Claim (ICR)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R3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Standalone EIDR SFD create path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R2 (default flow is read-only SFD)</w:t>
            </w:r>
          </w:p>
        </w:tc>
      </w:tr>
      <w:tr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Scaled multi-agent actAs</w:t>
            </w:r>
          </w:p>
        </w:tc>
        <w:tc>
          <w:tcPr>
            <w:tcW w:type="dxa" w:w="4513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R2</w:t>
            </w:r>
          </w:p>
        </w:tc>
      </w:tr>
    </w:tbl>
    <w:p>
      <w:pPr>
        <w:pStyle w:val="Heading1"/>
        <w:spacing w:after="160" w:before="320"/>
      </w:pPr>
      <w:r>
        <w:rPr>
          <w:color w:val="0A2540"/>
        </w:rPr>
        <w:t xml:space="preserve">3. System Architecture</w:t>
      </w:r>
    </w:p>
    <w:p>
      <w:pPr>
        <w:spacing w:after="120" w:line="276"/>
      </w:pPr>
      <w:r>
        <w:t xml:space="preserve">Fusion Flow is organised as a set of SQL schemas, each representing one stage of the pipeline, with three cross-cutting schemas (CFG, EXC, LOG) supporting every stage. Data flows left-to-right through the processing schemas; control and audit data flows into the cross-cutting schemas at every step.</w:t>
      </w:r>
    </w:p>
    <w:p>
      <w:pPr>
        <w:pStyle w:val="Heading2"/>
        <w:spacing w:after="120" w:before="260"/>
      </w:pPr>
      <w:r>
        <w:rPr>
          <w:color w:val="12355B"/>
        </w:rPr>
        <w:t xml:space="preserve">3.1 Schema layer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2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Key tables (Release 1)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Configuration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Application settings, clients, credentials, folder paths, email filtering rules, per-client API routing, API version switch, cached choice values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Application_Settings, Clients, Credentials, Folder_Paths, Email_Rules, API_Process_Map, API_Version, Choice_Value_Cache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Ingestion (raw)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Inbound artefacts landed verbatim from every source channel; no transformation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Inbound_File, Raw_Record, Source_Email, Raw_&lt;CODE&gt;_&lt;SOURCE&gt;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Execution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Master execution/transaction spine (Transaction_ID), transactions, errors, field-level enhancement log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Execution, Transaction, Error, Data_Processing_Enhancement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LOG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Log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Detailed technical/process logs and a dedicated error log (deeper than EXC)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Process_Log, Error_Log, API_Trace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PRS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Processing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Enhanced/enriched/constructed base submission objects in canonical TSS shape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ENS_Header, Consignment, Goods_Item, Nested_Object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STG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Staging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Submission-ready records mirroring TSS submission tables, client-prefixed; holds each API response code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BKD_ENS_Header, BKD_Consignment, BKD_Goods_Item, BKD_GMR, BKD_Sup_Dec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Full request/response JSON plus deserialised columns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Request_Response, Request_Deserialised, Response_Deserialised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Client schema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Records pulled back from TSS and reconciled; one schema per 3-letter client code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ENS_Header, Consignment, Goods_Item, GMR, Sup_Dec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CTL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Control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Authoritative latest status + views over specific headers/submissions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Submission_Status, vw_Header_Latest, vw_Submission_Tracker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ARC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Archive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Shared archived reconciled records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ENS_Headers_Srv, Consignment_Srv, Goods_Item_Srv</w:t>
            </w:r>
          </w:p>
        </w:tc>
      </w:tr>
      <w:tr>
        <w:tc>
          <w:tcPr>
            <w:tcW w:type="dxa" w:w="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</w:t>
            </w:r>
          </w:p>
        </w:tc>
        <w:tc>
          <w:tcPr>
            <w:tcW w:type="dxa" w:w="1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Serve</w:t>
            </w:r>
          </w:p>
        </w:tc>
        <w:tc>
          <w:tcPr>
            <w:tcW w:type="dxa" w:w="3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Views and tables for reporting &amp; analytics</w:t>
            </w:r>
          </w:p>
        </w:tc>
        <w:tc>
          <w:tcPr>
            <w:tcW w:type="dxa" w:w="34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vw_Submission_Summary, vw_SLA_Deadlines, Fact_Submission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Note: </w:t>
      </w:r>
      <w:r>
        <w:rPr>
          <w:i/>
          <w:iCs/>
        </w:rPr>
        <w:t xml:space="preserve">BKD is illustrative of the per-client schema pattern — each principal receives its own schema keyed on its 3-letter CFG.Clients code (Birkdale = BKD).</w:t>
      </w:r>
    </w:p>
    <w:p>
      <w:pPr>
        <w:pStyle w:val="Heading2"/>
        <w:spacing w:after="120" w:before="260"/>
      </w:pPr>
      <w:r>
        <w:rPr>
          <w:color w:val="12355B"/>
        </w:rPr>
        <w:t xml:space="preserve">3.2 End-to-end data flow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ING — raw inbound landed verbatim (Module 1, Ingestion).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PRS — normalise, enrich, look up, construct canonical base submission objects (Module 2, Data Processing).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STG — validated submission-ready rows materialised into client-prefixed tables shaped to the TSS payload (Module 2 output).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 — ordered TSS calls executed; full request/response captured; references mapped back to STG (Module 3, Submission Management).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BKD — TSS responses pulled back into the client schema and reconciled against the submitted STG payload (Module 4, Manage/Monitor).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CTL / ARC — latest status maintained in CTL; reconciled terminal records archived to shared ARC tables (Module 4).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SRV — serve views and fact tables expose status, SLA, and exception analytics (Module 5, Reporting &amp; Analytics).</w:t>
      </w:r>
    </w:p>
    <w:p>
      <w:pPr>
        <w:spacing w:after="120" w:line="276"/>
      </w:pPr>
      <w:r>
        <w:rPr>
          <w:b/>
          <w:bCs/>
        </w:rPr>
        <w:t xml:space="preserve">Cross-cutting throughout: </w:t>
      </w:r>
      <w:r>
        <w:t xml:space="preserve">CFG drives behaviour, EXC.Execution carries the Transaction_ID and process state, EXC.Data_Processing_Enhancement records every field change, and LOG captures detailed technical and error traces.</w:t>
      </w:r>
    </w:p>
    <w:p>
      <w:pPr>
        <w:pStyle w:val="Heading2"/>
        <w:spacing w:after="120" w:before="260"/>
      </w:pPr>
      <w:r>
        <w:rPr>
          <w:color w:val="12355B"/>
        </w:rPr>
        <w:t xml:space="preserve">3.3 Common process &amp; status model</w:t>
      </w:r>
    </w:p>
    <w:p>
      <w:pPr>
        <w:spacing w:after="120" w:line="276"/>
      </w:pPr>
      <w:r>
        <w:t xml:space="preserve">Every module advances records through a single shared vocabulary. The </w:t>
      </w:r>
      <w:r>
        <w:rPr>
          <w:b/>
          <w:bCs/>
        </w:rPr>
        <w:t xml:space="preserve">process</w:t>
      </w:r>
      <w:r>
        <w:t xml:space="preserve"> (the action being performed) is recorded against EXC.Execution; the resulting record </w:t>
      </w:r>
      <w:r>
        <w:rPr>
          <w:b/>
          <w:bCs/>
        </w:rPr>
        <w:t xml:space="preserve">status</w:t>
      </w:r>
      <w:r>
        <w:t xml:space="preserve"> is recorded on the working row and surfaced in CTL. This makes any record's position in the pipeline unambiguous across modules.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Process (EXC)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Resulting status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Raw artefact landed verbatim in ING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NORMALISING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NORMALISED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Formats/dates/codes standardised in PRS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ENRICHING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ENRICHED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Lookups, choice values and client QAS rules applied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CONSTRUCTING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CONSTRUCTED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Canonical base submission object assembled in PRS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VALIDATING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VALIDATED / REJECTED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Mandatory/conditional rules passed (or failed with reason)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STAGING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STAGED / READY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Materialised into STG, ready to submit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LINKING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LINKED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 → consignment → header bound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SUBMITTING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SUBMITTING → SUBMITTED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TSS API calls executed; reference returned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MONITORING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ACKNOWLEDGED / IN_PROGRESS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Polling TSS; downstream artefacts (SFD/SDI) appearing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RECONCILING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RECONCILED / MISMATCH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Pulled-back BKD record compared to submitted payload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ARCHIVING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ARCHIVED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Reconciled terminal record copied to ARC</w:t>
            </w:r>
          </w:p>
        </w:tc>
      </w:tr>
      <w:tr>
        <w:tc>
          <w:tcPr>
            <w:tcW w:type="dxa" w:w="2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(terminal/exception)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ERROR / CANCELLED / ON_HOLD</w:t>
            </w:r>
          </w:p>
        </w:tc>
        <w:tc>
          <w:tcPr>
            <w:tcW w:type="dxa" w:w="4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Exception states; require operator action</w:t>
            </w:r>
          </w:p>
        </w:tc>
      </w:tr>
    </w:tbl>
    <w:p>
      <w:pPr>
        <w:pStyle w:val="Heading2"/>
        <w:spacing w:after="120" w:before="260"/>
      </w:pPr>
      <w:r>
        <w:rPr>
          <w:color w:val="12355B"/>
        </w:rPr>
        <w:t xml:space="preserve">3.4 Multi-tenant client model</w:t>
      </w:r>
    </w:p>
    <w:p>
      <w:pPr>
        <w:spacing w:after="120" w:line="276"/>
      </w:pPr>
      <w:r>
        <w:t xml:space="preserve">Each principal is registered in </w:t>
      </w:r>
      <w:r>
        <w:rPr>
          <w:b/>
          <w:bCs/>
        </w:rPr>
        <w:t xml:space="preserve">CFG.Clients</w:t>
      </w:r>
      <w:r>
        <w:t xml:space="preserve"> with a 3-letter code (Birkdale = BKD). The code drives the client schema name (BKD.*), the STG table prefix (STG.BKD_*), the source-channel configuration, the QAS rule set, and the API routing. Onboarding a new client is therefore a configuration and schema-provisioning task rather than a code change.</w:t>
      </w:r>
    </w:p>
    <w:p>
      <w:pPr>
        <w:pStyle w:val="Heading2"/>
        <w:spacing w:after="120" w:before="260"/>
      </w:pPr>
      <w:r>
        <w:rPr>
          <w:color w:val="12355B"/>
        </w:rPr>
        <w:t xml:space="preserve">3.5 API versioning (New / Old switch)</w:t>
      </w:r>
    </w:p>
    <w:p>
      <w:pPr>
        <w:spacing w:after="120" w:line="276"/>
      </w:pPr>
      <w:r>
        <w:t xml:space="preserve">TSS publishes upgraded endpoints alongside legacy ones. </w:t>
      </w:r>
      <w:r>
        <w:rPr>
          <w:b/>
          <w:bCs/>
        </w:rPr>
        <w:t xml:space="preserve">CFG.API_Version</w:t>
      </w:r>
      <w:r>
        <w:t xml:space="preserve"> holds the active version per client and per resource; </w:t>
      </w:r>
      <w:r>
        <w:rPr>
          <w:b/>
          <w:bCs/>
        </w:rPr>
        <w:t xml:space="preserve">CFG.API_Process_Map</w:t>
      </w:r>
      <w:r>
        <w:t xml:space="preserve"> defines which API operations each client sends and against which endpoint. Submission Management resolves both at call time, allowing a controlled switch from new to old (or back) without redeployment.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0A2540"/>
        </w:rPr>
        <w:t xml:space="preserve">4. Functional Module Specifications</w:t>
      </w:r>
    </w:p>
    <w:p>
      <w:pPr>
        <w:pStyle w:val="Heading2"/>
        <w:spacing w:after="120" w:before="260"/>
      </w:pPr>
      <w:r>
        <w:rPr>
          <w:color w:val="12355B"/>
        </w:rPr>
        <w:t xml:space="preserve">4.1 Module 1 — Ingestion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Acquire inbound data from each principal across all configured channels and land it verbatim in ING, opening an EXC master execution (Transaction_ID) and capturing full provenance so every downstream record is traceable to its source file and row.</w:t>
      </w:r>
    </w:p>
    <w:p>
      <w:pPr>
        <w:pStyle w:val="Heading3"/>
        <w:spacing w:after="100" w:before="200"/>
      </w:pPr>
      <w:r>
        <w:rPr>
          <w:color w:val="0E7C8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26"/>
        <w:gridCol w:w="14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Schemas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Status →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ING-FR-01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Support SFTP polling, REST API pull, IMAP/Graph email attachment harvest (CSV/XLSX), and manual file drop — each enabled and configured per client.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ING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INGESTING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ING-FR-02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Resolve every inbound artefact to a 3-letter client code (domain/mailbox/path → client) before landing; unmatched artefacts are quarantined and logged.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ING, LOG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INGESTING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ING-FR-03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Persist the original payload byte-for-byte (file plus parsed rows) into ING. No transformation occurs at this stage.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ING-FR-04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Hash each file and row natural key for idempotent de-duplication; perform cross-database dedup via a Python bridge (Azure SQL has no cross-DB joins).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ING, EXC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ING-FR-05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Open exactly one EXC.Execution row per ingestion run with a generated Transaction_ID; set process=INGESTING and record status=INGESTED on success.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ING-FR-06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Read/transcode all text as UTF-8; use ASCII-safe stdout markers for Windows subprocess launchers (NO_COLOR=1) to avoid CP1252 failures.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ING, LOG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ING-FR-07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Capture provenance on every ING record: source channel, filename, received-UTC, sender/mailbox, row ordinal.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ING-FR-08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Expose ingestion counts (files received, rows landed, quarantined) to CTL for monitoring.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ING, 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C9912B" w:sz="18"/>
              <w:bottom w:val="single" w:color="C9D2DA" w:sz="1"/>
              <w:right w:val="single" w:color="C9D2DA" w:sz="1"/>
            </w:tcBorders>
            <w:shd w:fill="FBF3E2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9912B"/>
              </w:rPr>
              <w:t xml:space="preserve">⚠  Critical rules applied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21 — Avoid ✓/★ in subprocess stdout on Windows; use NO_COLOR=1 and ASCII-safe markers.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22 — No cross-database joins in Azure SQL; dedup across databases via a Python bridge.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0E7C86" w:sz="18"/>
              <w:bottom w:val="single" w:color="C9D2DA" w:sz="1"/>
              <w:right w:val="single" w:color="C9D2DA" w:sz="1"/>
            </w:tcBorders>
            <w:shd w:fill="F1F4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8"/>
                <w:szCs w:val="18"/>
              </w:rPr>
              <w:t xml:space="preserve">▌ BUILD PROMPT — Module 1 — Ingestion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Build a self-contained Python 3.11 ingestion runner for Fusion Flow R1.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Args: --client &lt;CODE&gt; --dry-run.  Hardcode config constants at top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(Azure SQL conn string, per-channel settings); no env-var lookups.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For the given client, poll its configured sources: SFTP, REST pull, and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IMAP/Graph mailbox (harvest CSV/XLSX attachments). Resolve each artefact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to its client via CFG.Clients (domain/mailbox/path); quarantine unmatched.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Land payloads VERBATIM into ING (Inbound_File + Raw_Record / Raw_&lt;CODE&gt;_&lt;SRC&gt;).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Open ONE EXC.Execution per run with a generated Transaction_ID,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process='INGESTING'; set status='INGESTED' on success.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Hash file + row natural keys for idempotent dedup (Python set/bridge,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no cross-DB joins). Read all text UTF-8; NO_COLOR=1, ASCII stdout.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Capture provenance: channel, filename, received_utc, sender, row ordinal.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Write steps to LOG.Process_Log, failures to LOG.Error_Log.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Use pyodbc + a rate-limited requests.Session for API pulls. Fully runnable.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Dry-run: parse + report counts, write nothing. Print an ingestion summary.</w:t>
            </w:r>
          </w:p>
        </w:tc>
      </w:tr>
    </w:tbl>
    <w:p>
      <w:pPr>
        <w:pStyle w:val="Heading2"/>
        <w:spacing w:after="120" w:before="260"/>
      </w:pPr>
      <w:r>
        <w:rPr>
          <w:color w:val="12355B"/>
        </w:rPr>
        <w:t xml:space="preserve">4.2 Module 2 — Data Processing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Transform raw ING records into validated, TSS-shaped base submission objects in PRS (normalise → enrich → look up → construct), output the submission-ready rows into client-prefixed STG tables, and log every field-level change in EXC.Data_Processing_Enhancement.</w:t>
      </w:r>
    </w:p>
    <w:p>
      <w:pPr>
        <w:pStyle w:val="Heading3"/>
        <w:spacing w:after="100" w:before="200"/>
      </w:pPr>
      <w:r>
        <w:rPr>
          <w:color w:val="0E7C8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26"/>
        <w:gridCol w:w="14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Schemas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Status →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DP-FR-01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Normalise formats: dates to strict DD/MM/YYYY HH:MM:SS in UTC, code casing, trimming; map source columns to canonical PRS fields.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ING, PRS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NORMALISED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DP-FR-02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Enrich via CFG-cached choice values (~57 fields) and apply per-client QAS rules (e.g. BKD importer fallback, fixed arrival port, transport-charge literal, domestic-status flag).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PRS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ENRICHED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DP-FR-03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Construct canonical ENS Header / Consignment / Goods Item objects honouring TSS cardinality (1 header → many consignments → ≤99 goods) and nested arrays.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CONSTRUCTED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DP-FR-04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Validate mandatory/conditional fields per movement_type (incl. the effectively-mandatory 3a set); fail → REJECTED with reason; pass → VALIDATED.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PRS, LOG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VALIDATED / REJECTED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DP-FR-05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Materialise validated objects into STG client tables shaped exactly to the TSS submission payload; set status=STAGED/READY.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STAGED / READY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DP-FR-06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Log every field set/changed/cleared in PRS or STG to EXC.Data_Processing_Enhancement (old value, new value, rule, Transaction_ID).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DP-FR-07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Drive the shared process/status model and record transitions in EXC and CTL.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EXC, 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DP-FR-08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Merge master/reference data (clients, ports, commodity defaults) from CFG into the staging layer alongside ingested values.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STG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ENRICHED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C9912B" w:sz="18"/>
              <w:bottom w:val="single" w:color="C9D2DA" w:sz="1"/>
              <w:right w:val="single" w:color="C9D2DA" w:sz="1"/>
            </w:tcBorders>
            <w:shd w:fill="FBF3E2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9912B"/>
              </w:rPr>
              <w:t xml:space="preserve">⚠  Critical rules applied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4 — arrival_date_time strict DD/MM/YYYY HH:MM:SS UTC; not past, max 14 days future.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10 — goods_domestic_status is single char 'D' (not 'NIDOM').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11 — BKD transport_charges = 'Y' (account holder with carrier).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12 — BKD arrival port GBAUBELBELBEL (Belfast).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13 — BKD importer fallback to XI379692092000 when customer has no EORI.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9 — Introspect CV table columns (INFORMATION_SCHEMA) before any insert.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0E7C86" w:sz="18"/>
              <w:bottom w:val="single" w:color="C9D2DA" w:sz="1"/>
              <w:right w:val="single" w:color="C9D2DA" w:sz="1"/>
            </w:tcBorders>
            <w:shd w:fill="F1F4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8"/>
                <w:szCs w:val="18"/>
              </w:rPr>
              <w:t xml:space="preserve">▌ BUILD PROMPT — Module 2 — Data Processing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Build a self-contained Python 3.11 processing runner for Fusion Flow R1.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Args: --client &lt;CODE&gt; --transaction-id &lt;ID|latest&gt; --dry-run.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Read INGESTED rows for the client; for each logical movement: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1) NORMALISE: dates -&gt; DD/MM/YYYY HH:MM:SS UTC, trim/casing, column map.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2) ENRICH: resolve choice values from CFG.Choice_Value_Cache; apply the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   client QAS rule set (BKD: importer XI379692092000 fallback, port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   GBAUBELBELBEL, transport_charges='Y', goods_domestic_status='D').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3) CONSTRUCT canonical ENS Header/Consignment/Goods objects in PRS,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   enforcing 1-&gt;many-&gt;(&lt;=99) cardinality and nested arrays.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4) VALIDATE mandatory/conditional fields by movement_type (incl. 3a set);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   REJECTED+reason on fail, VALIDATED on pass.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5) STAGE: write to STG.&lt;CODE&gt;_ENS_Header/_Consignment/_Goods_Item in the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   exact TSS payload shape; status='STAGED'.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Log EVERY field change to EXC.Data_Processing_Enhancement (old,new,rule,txn).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Advance EXC process + CTL status at each step. pyodbc; hardcoded config.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Introspect CV/STG columns via INFORMATION_SCHEMA before insert. Runnable.</w:t>
            </w:r>
          </w:p>
        </w:tc>
      </w:tr>
    </w:tbl>
    <w:p>
      <w:pPr>
        <w:pStyle w:val="Heading2"/>
        <w:spacing w:after="120" w:before="260"/>
      </w:pPr>
      <w:r>
        <w:rPr>
          <w:color w:val="12355B"/>
        </w:rPr>
        <w:t xml:space="preserve">4.3 Module 3 — Submission Management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Assemble validated STG records into TSS submissions — link goods to consignments to headers, run pre-submit validation, execute the correct ordered API calls for the route, capture every request/response in the API schema, and record per-call response codes back onto STG.</w:t>
      </w:r>
    </w:p>
    <w:p>
      <w:pPr>
        <w:pStyle w:val="Heading3"/>
        <w:spacing w:after="100" w:before="200"/>
      </w:pPr>
      <w:r>
        <w:rPr>
          <w:color w:val="0E7C8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26"/>
        <w:gridCol w:w="14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Schemas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Status →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SM-FR-01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Bind goods to consignments and consignments to the ENS header per the relationship map; enforce header lockout and blank-field-on-update semantics.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STG, PRS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LINKED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SM-FR-02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Execute the Route A sequence: POST /headers create → /consignments create → /goods create (loop ≤99) → /consignments submit. GMR is two calls (create then submit), then wait ~90s before reading gmr_id.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STG, API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SUBMITTING → SUBMITTED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SM-FR-03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Resolve endpoint/op_type per client from CFG.API_Process_Map and version from CFG.API_Version (New/Old switch). Use /headers (not /declaration_headers) and consignment_number (not consignment_reference).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API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SM-FR-04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Authenticate via HTTP Basic on a single requests.Session (credentials API.TSSnnnnnnn from CFG.Credentials); enforce ≥0.25s inter-call rate limit.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CFG, API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SM-FR-05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Persist full request/response JSON to API.Request_Response and deserialised columns; map TSS references (ENS…/DEC…/goods_id/GMR…) back to STG.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API, STG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SUBMITTED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SM-FR-06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Write each API response/status code onto the relevant STG row; advance SUBMITTING→SUBMITTED or flag ERROR/REJECTED with the TSS error_message.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STG, LOG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SUBMITTED / ERROR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SM-FR-07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Validate importer EORI via GET /permission_grant (result is a LIST) before submitting; route by use_tss_simplified_process.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API, CFG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SM-FR-08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Never resend a successfully-submitted consignment; resume from the last successful step using EXC.Execution state (idempotent re-submit).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EXC, STG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SUBMITTED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C9912B" w:sz="18"/>
              <w:bottom w:val="single" w:color="C9D2DA" w:sz="1"/>
              <w:right w:val="single" w:color="C9D2DA" w:sz="1"/>
            </w:tcBorders>
            <w:shd w:fill="FBF3E2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9912B"/>
              </w:rPr>
              <w:t xml:space="preserve">⚠  Critical rules applied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 — Use /headers, never /declaration_headers (wrong path → 404).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 — SFD lookup uses consignment_number, never consignment_reference (silent 'Unknown error').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3 — movement_type=3a requires the effectively-mandatory conditional set.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Rules 16/17/24 — Update is full replacement; declaration_number/consignment_number must be blank on update; empty clears.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18 — After first consignment submit, the header is locked except identity_no_of_transport.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19 — GMR is always create + submit (two calls); wait ~90s before reading gmr_id.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7 — Permission Grant result is a LIST; iterate it.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8 / Rule 14 — One requests.Session; ≥0.25s between production calls.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0E7C86" w:sz="18"/>
              <w:bottom w:val="single" w:color="C9D2DA" w:sz="1"/>
              <w:right w:val="single" w:color="C9D2DA" w:sz="1"/>
            </w:tcBorders>
            <w:shd w:fill="F1F4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8"/>
                <w:szCs w:val="18"/>
              </w:rPr>
              <w:t xml:space="preserve">▌ BUILD PROMPT — Module 3 — Submission Management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Build a self-contained Python 3.11 submission runner for Fusion Flow R1,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Route A only. Args: --client &lt;CODE&gt; --env &lt;test|prod&gt; --dry-run.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Hardcode config; pull credentials/endpoints/version from CFG.Credentials,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CFG.API_Process_Map, CFG.API_Version. ONE requests.Session, HTTP Basic,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&gt;=0.25s rate limit. Pre-flight: GET /permission_grant?eori=... (result is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a LIST) and route by use_tss_simplified_process.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For each READY movement in STG.&lt;CODE&gt;_*: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link goods-&gt;consignment-&gt;header; then call IN ORDER: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POST /headers create -&gt; /consignments create -&gt; /goods create (&lt;=99 loop)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-&gt; /consignments submit. Then GMR: POST create -&gt; POST submit -&gt; wait 90s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-&gt; GET gmr_id. Use /headers (NOT /declaration_headers); SFD lookups use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consignment_number. On update: full payload, blank declaration_number/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  consignment_number, never blank a field you want kept.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Capture every request+response to API.Request_Response (+deserialised);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write response codes + TSS refs (ENS/DEC/goods_id/GMR) back onto STG.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Advance EXC/CTL SUBMITTING-&gt;SUBMITTED; ERROR+error_message on failure.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Idempotent: skip already-submitted; resume from last EXC step. Runnable.</w:t>
            </w:r>
          </w:p>
        </w:tc>
      </w:tr>
    </w:tbl>
    <w:p>
      <w:pPr>
        <w:pStyle w:val="Heading2"/>
        <w:spacing w:after="120" w:before="260"/>
      </w:pPr>
      <w:r>
        <w:rPr>
          <w:color w:val="12355B"/>
        </w:rPr>
        <w:t xml:space="preserve">4.4 Module 4 — Manage &amp; Monitor Submissions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After submission, poll TSS for declaration numbers and downstream auto-generated artefacts (SFD, SDI), pull the returned data into the client schema, reconcile against what was submitted, drive create/edit/cancel/recall maintenance, and maintain the authoritative latest status in CTL.</w:t>
      </w:r>
    </w:p>
    <w:p>
      <w:pPr>
        <w:pStyle w:val="Heading3"/>
        <w:spacing w:after="100" w:before="200"/>
      </w:pPr>
      <w:r>
        <w:rPr>
          <w:color w:val="0E7C8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26"/>
        <w:gridCol w:w="14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Schemas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Status →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MM-FR-01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Retrieve declaration/consignment/goods references and statuses (fields list required on reads); walk ENS→SFD→SUP lookups and re-fetch SDI-context goods_id.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API, BKD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MONITORING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MM-FR-02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Land TSS-returned records into the client schema (BKD.ENS_Header, Consignment, Goods_Item, GMR, Sup_Dec) with MRN, control_status, error_message.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BKD, API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ACKNOWLEDGED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MM-FR-03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Reconcile submitted STG payload vs pulled-back BKD record field-by-field; match → RECONCILED; divergence → MISMATCH with diff logged.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STG, BKD, LOG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RECONCILED / MISMATCH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MM-FR-04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Support update (full-replacement), state-aware cancel, recall (SUP Pending Payment→Draft) and re-submit; require a typed confirmation phrase on cancel/recall.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API, STG, BKD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MM-FR-05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Track lifecycle timings/deadlines (SDI submit by the 10th of the month after arrival; GMR 90s wait) and surface them in CTL views.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MONITORING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MM-FR-06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On reconciled + submitted terminal state, copy records to shared ARC tables and set status=ARCHIVED.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ARC, 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ARCHIVED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MM-FR-07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Maintain CTL.Submission_Status as the single source of latest status with views per header/consignment/submission.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MM-FR-08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Use Consignment read to walk back to the ENS header (importers cannot read the ENS header directly).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API, BKD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C9912B" w:sz="18"/>
              <w:bottom w:val="single" w:color="C9D2DA" w:sz="1"/>
              <w:right w:val="single" w:color="C9D2DA" w:sz="1"/>
            </w:tcBorders>
            <w:shd w:fill="FBF3E2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9912B"/>
              </w:rPr>
              <w:t xml:space="preserve">⚠  Critical rules applied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15 — goods_id differs between ENS and SDI context; re-fetch via GET /goods?sup_dec_number=SUP….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5 / Rule 6 — SFDs/SDIs are auto-generated read-only; if importer EORI is unregistered they silently never generate.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20 — Cancelling Open/TIR GMRs deletes them from GVMS entirely; draft cancels only mark cancelled.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23 — If a draft SDI for standard goods does not appear, nudge arrival_date_time to near-future UTC and re-trigger.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26 — Importers cannot read the ENS header; walk back via the consignment's declaration_number.</w:t>
            </w:r>
          </w:p>
          <w:p>
            <w:pPr>
              <w:spacing w:after="40" w:line="264"/>
            </w:pPr>
            <w:r>
              <w:rPr>
                <w:color w:val="1C2A36"/>
              </w:rPr>
              <w:t xml:space="preserve">Rule 25 — Attachments are not permitted; the API is pure JSON.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0E7C86" w:sz="18"/>
              <w:bottom w:val="single" w:color="C9D2DA" w:sz="1"/>
              <w:right w:val="single" w:color="C9D2DA" w:sz="1"/>
            </w:tcBorders>
            <w:shd w:fill="F1F4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8"/>
                <w:szCs w:val="18"/>
              </w:rPr>
              <w:t xml:space="preserve">▌ BUILD PROMPT — Module 4 — Manage &amp; Monitor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Build a self-contained Python 3.11 monitor/reconcile runner for R1.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Args: --client &lt;CODE&gt; --env &lt;test|prod&gt; --action &lt;poll|reconcile|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update|cancel|recall&gt; --dry-run. One rate-limited HTTP Basic session.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poll: for SUBMITTED movements, GET /consignments &amp;fields=... for MRN/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control_status; walk SFD via consignment_number, SUP via sfd_number;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re-fetch SDI-context goods_id via GET /goods?sup_dec_number=SUP....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Land returns into BKD.&lt;entity&gt; (MRN, control_status, error_message).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reconcile: diff STG submitted payload vs BKD pulled record field-by-field;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match -&gt; CTL status RECONCILED; else MISMATCH + diff to LOG.Error_Log.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update/cancel/recall: full-replacement payloads; state-aware cancel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(warn Open/TIR GMR cancel deletes from GVMS); require typed confirmation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phrase + transaction wrapping on destructive ops.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On RECONCILED+SUBMITTED terminal: copy to ARC.*_Srv, status=ARCHIVED.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CTL.Submission_Status is the single latest-status source. Track SDI 10th-of-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month deadline. pyodbc; hardcoded config; runnable; dry-run safe.</w:t>
            </w:r>
          </w:p>
        </w:tc>
      </w:tr>
    </w:tbl>
    <w:p>
      <w:pPr>
        <w:pStyle w:val="Heading2"/>
        <w:spacing w:after="120" w:before="260"/>
      </w:pPr>
      <w:r>
        <w:rPr>
          <w:color w:val="12355B"/>
        </w:rPr>
        <w:t xml:space="preserve">4.5 Module 5 — Reporting &amp; Analytics</w:t>
      </w:r>
    </w:p>
    <w:p>
      <w:pPr>
        <w:spacing w:after="120" w:line="276"/>
      </w:pPr>
      <w:r>
        <w:rPr>
          <w:b/>
          <w:bCs/>
        </w:rPr>
        <w:t xml:space="preserve">Purpose. </w:t>
      </w:r>
      <w:r>
        <w:t xml:space="preserve">Provide the SRV serve layer — curated views, fact tables and extracts — for operational dashboards, SLA/deadline tracking, exception monitoring and client reporting, branded to the Synovia Fusion system.</w:t>
      </w:r>
    </w:p>
    <w:p>
      <w:pPr>
        <w:pStyle w:val="Heading3"/>
        <w:spacing w:after="100" w:before="200"/>
      </w:pPr>
      <w:r>
        <w:rPr>
          <w:color w:val="0E7C8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26"/>
        <w:gridCol w:w="14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Schemas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Status →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RA-FR-01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Build SRV views over CTL/BKD/ARC for submission status, throughput and reconciliation outcomes.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SRV, 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RA-FR-02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Report on SDI deadlines, GMR readiness, ageing drafts and stuck/ERROR records.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SRV, CTL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RA-FR-03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Surface rejection reasons, mismatch counts and top error codes from LOG/EXC.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SRV, LOG, EXC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RA-FR-04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Produce per-client (3-letter code) extracts and formatted Excel/HTML outputs using the Synovia Fusion brand system.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RA-FR-05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Provide an aggregate fact table (SRV.Fact_Submission) refreshed per execution for BI consumption.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RA-FR-06</w:t>
            </w:r>
          </w:p>
        </w:tc>
        <w:tc>
          <w:tcPr>
            <w:tcW w:type="dxa" w:w="53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Report volumetrics: files ingested, rows staged, submissions per route/status/day, reconciliation rate.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</w:t>
            </w:r>
          </w:p>
        </w:tc>
        <w:tc>
          <w:tcPr>
            <w:tcW w:type="dxa" w:w="12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DA" w:sz="1"/>
              <w:left w:val="single" w:color="0E7C86" w:sz="18"/>
              <w:bottom w:val="single" w:color="C9D2DA" w:sz="1"/>
              <w:right w:val="single" w:color="C9D2DA" w:sz="1"/>
            </w:tcBorders>
            <w:shd w:fill="F1F4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8"/>
                <w:szCs w:val="18"/>
              </w:rPr>
              <w:t xml:space="preserve">▌ BUILD PROMPT — Module 5 — Reporting &amp; Analytics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Build the SRV serve layer + a self-contained Python 3.11 reporting script.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SQL: create SRV views over CTL/BKD/ARC — vw_Submission_Summary,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vw_SLA_Deadlines (SDI 10th-of-month, GMR readiness, ageing drafts),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vw_Exceptions (rejection reasons, mismatch counts, top error codes from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LOG/EXC), and a refreshable SRV.Fact_Submission (per route/status/day).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Python: args --client &lt;CODE|all&gt; --as-of &lt;date&gt;. Read SRV views, emit a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formatted Excel workbook AND an interactive HTML report in the Synovia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Fusion brand (navy/teal, Montserrat/Segoe UI, Status Pills, Pipeline view).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Include volumetrics: files ingested, rows staged, submissions, reconcile %.</w:t>
            </w:r>
          </w:p>
          <w:p>
            <w:pPr>
              <w:spacing w:after="24" w:line="252"/>
            </w:pPr>
            <w:r>
              <w:rPr>
                <w:rFonts w:ascii="Consolas" w:cs="Consolas" w:eastAsia="Consolas" w:hAnsi="Consolas"/>
                <w:color w:val="1C2A36"/>
                <w:sz w:val="17"/>
                <w:szCs w:val="17"/>
              </w:rPr>
              <w:t xml:space="preserve">Hardcoded config; pyodbc; openpyxl; self-contained; runnable.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0A2540"/>
        </w:rPr>
        <w:t xml:space="preserve">5. Data Model Summary</w:t>
      </w:r>
    </w:p>
    <w:p>
      <w:pPr>
        <w:spacing w:after="120" w:line="276"/>
      </w:pPr>
      <w:r>
        <w:t xml:space="preserve">The staging and client schemas mirror the TSS submission entities. Primary relationships (Release 1, Route 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Child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Cardinality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Join / note</w:t>
            </w:r>
          </w:p>
        </w:tc>
      </w:tr>
      <w:t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DeclarationHeader (ENS)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Consignment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 → many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declaration_number</w:t>
            </w:r>
          </w:p>
        </w:tc>
      </w:tr>
      <w:t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DeclarationHeader (ENS)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GVMS_GMR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 → 0..1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ens_lrn; one active GMR per movement</w:t>
            </w:r>
          </w:p>
        </w:tc>
      </w:tr>
      <w:t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Consignment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GoodsItem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 → many (≤99)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consignment_number</w:t>
            </w:r>
          </w:p>
        </w:tc>
      </w:tr>
      <w:t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Consignment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SFDConsignment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 → 0..1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auto-generated; lookup by consignment_number</w:t>
            </w:r>
          </w:p>
        </w:tc>
      </w:tr>
      <w:t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SFDConsignment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SupplementaryDec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 → 0..1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auto-drafted; lookup by sfd_number</w:t>
            </w:r>
          </w:p>
        </w:tc>
      </w:tr>
      <w:tr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SupplementaryDec</w:t>
            </w:r>
          </w:p>
        </w:tc>
        <w:tc>
          <w:tcPr>
            <w:tcW w:type="dxa" w:w="2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GoodsItem (SDI ctx)</w:t>
            </w:r>
          </w:p>
        </w:tc>
        <w:tc>
          <w:tcPr>
            <w:tcW w:type="dxa" w:w="1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 → many</w:t>
            </w:r>
          </w:p>
        </w:tc>
        <w:tc>
          <w:tcPr>
            <w:tcW w:type="dxa" w:w="28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lookup by sup_dec_number (NEW goods_id)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Nested arrays (Release 1). </w:t>
      </w:r>
      <w:r>
        <w:t xml:space="preserve">Consignment carries PreviousDocument and HolderOfAuthorisation; GoodsItem carries AdditionalProcedure, DocumentReference, AdditionalInformation, PreviousDocument, ItemAddDed, NationalAdditionalCode and TaxBase; GMR carries ExternalContact. These are modelled as child tables in PRS/STG and serialised into the JSON payload at submission.</w:t>
      </w:r>
    </w:p>
    <w:p>
      <w:pPr>
        <w:pStyle w:val="Heading1"/>
        <w:spacing w:after="160" w:before="320"/>
      </w:pPr>
      <w:r>
        <w:rPr>
          <w:color w:val="0A2540"/>
        </w:rPr>
        <w:t xml:space="preserve">6. TSS API Integration</w:t>
      </w:r>
    </w:p>
    <w:p>
      <w:pPr>
        <w:pStyle w:val="Heading3"/>
        <w:spacing w:after="100" w:before="200"/>
      </w:pPr>
      <w:r>
        <w:rPr>
          <w:color w:val="0E7C86"/>
        </w:rPr>
        <w:t xml:space="preserve">6.1 Environments &amp;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TEST base URL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https://api.tsstestenv.co.uk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Functional &amp; integration testing</w:t>
            </w:r>
          </w:p>
        </w:tc>
      </w:tr>
      <w:t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PROD base URL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https://api.tradersupportservice.co.uk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Live HMRC/CDS submissions</w:t>
            </w:r>
          </w:p>
        </w:tc>
      </w:tr>
      <w:t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Auth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HTTP Basic — Base64(user:pass)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Credential format API.TSSnnnnnnn</w:t>
            </w:r>
          </w:p>
        </w:tc>
      </w:tr>
      <w:t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Headers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Accept / Content-Type: application/json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Authorization: Basic &lt;b64&gt;</w:t>
            </w:r>
          </w:p>
        </w:tc>
      </w:tr>
      <w:t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Time zone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UTC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Portal shows BST+1 in summer; API is UTC</w:t>
            </w:r>
          </w:p>
        </w:tc>
      </w:tr>
      <w:tr>
        <w:tc>
          <w:tcPr>
            <w:tcW w:type="dxa" w:w="20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Rate limit</w:t>
            </w:r>
          </w:p>
        </w:tc>
        <w:tc>
          <w:tcPr>
            <w:tcW w:type="dxa" w:w="4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≥0.25s between calls (prod)</w:t>
            </w:r>
          </w:p>
        </w:tc>
        <w:tc>
          <w:tcPr>
            <w:tcW w:type="dxa" w:w="26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Session with rate-limited decorator</w:t>
            </w:r>
          </w:p>
        </w:tc>
      </w:tr>
    </w:tbl>
    <w:p>
      <w:pPr>
        <w:pStyle w:val="Heading3"/>
        <w:spacing w:after="100" w:before="200"/>
      </w:pPr>
      <w:r>
        <w:rPr>
          <w:color w:val="0E7C86"/>
        </w:rPr>
        <w:t xml:space="preserve">6.2 Endpoints in scope (Route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2526"/>
      </w:tblGrid>
      <w:tr>
        <w:trPr>
          <w:tblHeader/>
        </w:trP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op_types (R1)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Returns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Permission Grant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GET /permission_grant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read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permission flags (LIST)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Declaration Header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POST/GET /headers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create, update, cancel, read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ENS000…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Consignment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POST/GET /consignments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create, update, submit, cancel, read, filter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DEC000…, MRN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 Item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POST/GET /goods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create, update, delete, lookup, read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goods_id (32-hex)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 Consignment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GET /simplified_frontier_declarations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lookup, read, filter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 DEC + MRN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Supplementary Dec.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POST/GET /supplementary_declarations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lookup, read, filter, submit, recall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SUP000…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GVMS GMR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POST/GET /gvms_gmr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create, submit, cancel, read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GMR000…, gmr_id</w:t>
            </w:r>
          </w:p>
        </w:tc>
      </w:tr>
      <w:tr>
        <w:tc>
          <w:tcPr>
            <w:tcW w:type="dxa" w:w="19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Choice Values</w:t>
            </w:r>
          </w:p>
        </w:tc>
        <w:tc>
          <w:tcPr>
            <w:tcW w:type="dxa" w:w="2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GET /choice_values/&lt;field&gt;</w:t>
            </w:r>
          </w:p>
        </w:tc>
        <w:tc>
          <w:tcPr>
            <w:tcW w:type="dxa" w:w="2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read</w:t>
            </w:r>
          </w:p>
        </w:tc>
        <w:tc>
          <w:tcPr>
            <w:tcW w:type="dxa" w:w="2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{name, value} array</w:t>
            </w:r>
          </w:p>
        </w:tc>
      </w:tr>
    </w:tbl>
    <w:p>
      <w:pPr>
        <w:spacing w:after="120" w:line="276"/>
      </w:pPr>
      <w:r>
        <w:t xml:space="preserve">Reads require at least one </w:t>
      </w:r>
      <w:r>
        <w:rPr>
          <w:b/>
          <w:bCs/>
        </w:rPr>
        <w:t xml:space="preserve">fields</w:t>
      </w:r>
      <w:r>
        <w:t xml:space="preserve"> parameter. Agents (e.g. PLE) append </w:t>
      </w:r>
      <w:r>
        <w:rPr>
          <w:b/>
          <w:bCs/>
        </w:rPr>
        <w:t xml:space="preserve">actAs=&lt;customer_account_sys_id&gt;</w:t>
      </w:r>
      <w:r>
        <w:t xml:space="preserve"> obtained from GET /agent_relationships.</w:t>
      </w:r>
    </w:p>
    <w:p>
      <w:pPr>
        <w:pStyle w:val="Heading1"/>
        <w:spacing w:after="160" w:before="320"/>
      </w:pPr>
      <w:r>
        <w:rPr>
          <w:color w:val="0A2540"/>
        </w:rPr>
        <w:t xml:space="preserve">7. Cross-Cutting Concerns</w:t>
      </w:r>
    </w:p>
    <w:p>
      <w:pPr>
        <w:pStyle w:val="Heading3"/>
        <w:spacing w:after="100" w:before="200"/>
      </w:pPr>
      <w:r>
        <w:rPr>
          <w:color w:val="0E7C86"/>
        </w:rPr>
        <w:t xml:space="preserve">7.1 Execution &amp; audit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Every run opens one EXC.Execution row with a Transaction_ID and the active process; the Transaction_ID threads through ING, PRS, STG, API, BKD and CTL.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Every field-level change in PRS/STG is written to EXC.Data_Processing_Enhancement with old value, new value, the rule applied, and the Transaction_ID.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LOG carries detailed technical and error traces (deeper than EXC), including a full API trace.</w:t>
      </w:r>
    </w:p>
    <w:p>
      <w:pPr>
        <w:pStyle w:val="Heading3"/>
        <w:spacing w:after="100" w:before="200"/>
      </w:pPr>
      <w:r>
        <w:rPr>
          <w:color w:val="0E7C86"/>
        </w:rPr>
        <w:t xml:space="preserve">7.2 Configuration &amp; credentials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All behaviour is CFG-driven: clients, credentials, folder paths, email rules, API routing and version, and cached choice values.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Scripts use hardcoded config constants and credentials per the team convention; destructive operations carry dry-run flags, transaction wrapping and typed confirmation phrases.</w:t>
      </w:r>
    </w:p>
    <w:p>
      <w:pPr>
        <w:pStyle w:val="Heading3"/>
        <w:spacing w:after="100" w:before="200"/>
      </w:pPr>
      <w:r>
        <w:rPr>
          <w:color w:val="0E7C86"/>
        </w:rPr>
        <w:t xml:space="preserve">7.3 Resilience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Idempotent ingestion and submission; resume-from-last-step using EXC state; rate-limited single session; UTF-8/ASCII-safe IO on Windows launchers.</w:t>
      </w:r>
    </w:p>
    <w:p>
      <w:pPr>
        <w:pStyle w:val="Heading1"/>
        <w:spacing w:after="160" w:before="320"/>
      </w:pPr>
      <w:r>
        <w:rPr>
          <w:color w:val="0A2540"/>
        </w:rPr>
        <w:t xml:space="preserve">8. Release 1 Delivery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526"/>
      </w:tblGrid>
      <w:tr>
        <w:trPr>
          <w:tblHeader/>
        </w:trP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P1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Foundation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Provision all 11 schemas; CFG seed (clients, credentials, paths, API map/version); choice-value bootstrap; credential/config harvest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P2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Ingestion (M1)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 source connectors (SFTP/API/email); raw landing; EXC execution spine; provenance &amp; dedup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P3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Processing (M2)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Normalise/enrich/construct in PRS; validation; STG materialisation; enhancement logging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P4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Submission (M3)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Route A ordered calls on TEST; API capture; response-code tracking; permission pre-flight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P5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Monitor (M4)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Pull-back to BKD; reconciliation; CTL latest-status; ARC archive; maintenance ops</w:t>
            </w:r>
          </w:p>
        </w:tc>
      </w:tr>
      <w:tr>
        <w:tc>
          <w:tcPr>
            <w:tcW w:type="dxa" w:w="11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P6</w:t>
            </w:r>
          </w:p>
        </w:tc>
        <w:tc>
          <w:tcPr>
            <w:tcW w:type="dxa" w:w="34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Reporting &amp; cutover (M5)</w:t>
            </w:r>
          </w:p>
        </w:tc>
        <w:tc>
          <w:tcPr>
            <w:tcW w:type="dxa" w:w="4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SRV views/fact table; branded Excel/HTML reporting; controlled cutover to PRODUCTION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0A2540"/>
        </w:rPr>
        <w:t xml:space="preserve">9. Critical Rules Register</w:t>
      </w:r>
    </w:p>
    <w:p>
      <w:pPr>
        <w:spacing w:after="120" w:line="276"/>
      </w:pPr>
      <w:r>
        <w:t xml:space="preserve">Empirically confirmed via live BKD/PLE calls. Where the published spec says optional but TSS rejects without it, the rule is binding for Release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Use /headers, not /declaration_headers. Wrong path returns 404.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 lookup uses consignment_number, not consignment_reference. Wrong name returns a silent 'Unknown error'.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movement_type=3a requires the effectively-mandatory conditional set: type_of_passive_transport, transport_charges, carrier_name, place_of_acceptance/delivery flags.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4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arrival_date_time strict DD/MM/YYYY HH:MM:SS UTC; never in the past; max 14 days future.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5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SFDs are auto-generated; do not call create. Default flow is read-only after consignment submit.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importer_eori must be TSS-registered or SFD/SDI silently never generate. Validate via Permission Grant first.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7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Permission Grant result is a LIST, not an object — iterate it.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8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Use a single requests.Session with the Authorization header set once.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9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Introspect CV table columns (INFORMATION_SCHEMA) before any insert; names vary (e.g. description vs name).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10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goods_domestic_status is single char 'D' — not 'NIDOM'.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11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 transport_charges = 'Y' (account holder with carrier) — not 'H'.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12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 arrival port is GBAUBELBELBEL (Belfast) for all GB→NI movements.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13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BKD importer fallback: if customer has no EORI, Birkdale is importer &amp; consignor (XI379692092000).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14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Rate limit 0.25s between calls (prod); use a rate-limited session decorator.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15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goods_id in ENS context ≠ goods_id in SDI context; re-fetch via GET /goods?sup_dec_number=SUP….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16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Update is full replacement — omitted optional fields are blanked. Re-send everything to keep.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17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On Consignment update, declaration_number must be blank; on Goods update, consignment_number must be blank.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18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After first consignment submit, the header is locked except identity_no_of_transport.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19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GMR is always create then submit (two calls); wait ~90s before reading gmr_id.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20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Cancelling Open/TIR GMRs deletes them from GVMS entirely; draft cancels only mark cancelled.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21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Avoid ✓/★ in subprocess stdout on Windows (CP1252); use NO_COLOR=1 and ASCII markers.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22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Azure SQL has no cross-database joins; bridge in Python for cross-DB dedup.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23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If a draft SDI for standard goods does not appear, nudge arrival_date_time to near-future UTC and re-trigger.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24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Empty optional field clears to default; to keep a value, send the existing value (update = full replacement).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25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Attachments are not permitted; the API is pure JSON. Use SharePoint/portal for documents.</w:t>
            </w:r>
          </w:p>
        </w:tc>
      </w:tr>
      <w:tr>
        <w:tc>
          <w:tcPr>
            <w:tcW w:type="dxa" w:w="5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26</w:t>
            </w:r>
          </w:p>
        </w:tc>
        <w:tc>
          <w:tcPr>
            <w:tcW w:type="dxa" w:w="85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Importers cannot read the ENS header; walk back via the consignment's declaration_number.</w:t>
            </w:r>
          </w:p>
        </w:tc>
      </w:tr>
    </w:tbl>
    <w:p>
      <w:pPr>
        <w:pStyle w:val="Heading1"/>
        <w:spacing w:after="160" w:before="320"/>
      </w:pPr>
      <w:r>
        <w:rPr>
          <w:color w:val="0A2540"/>
        </w:rPr>
        <w:t xml:space="preserve">Appendix A —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0E7C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ENS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Entry Summary Declaration (safety &amp; security, pre-movement)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SFD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Simplified Frontier Declaration (auto-generated from a submitted consignment)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SDI / SUP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Supplementary Declaration (post-movement customs detail; deadline 10th of month after arrival)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FFD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Full Frontier Declaration (Route C; RoW→NI / special procedures)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GMR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Goods Movement Reference (GVMS; required at the port)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IMMI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Internal Market Movement Information (Route B; UKIMS 'not at risk')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ICR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Maritime Inventory Claim Record (Route D)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MRN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shd w:fill="F4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Movement Reference Number (returned by CDS)</w:t>
            </w:r>
          </w:p>
        </w:tc>
      </w:tr>
      <w:tr>
        <w:tc>
          <w:tcPr>
            <w:tcW w:type="dxa" w:w="1300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QAS</w:t>
            </w:r>
          </w:p>
        </w:tc>
        <w:tc>
          <w:tcPr>
            <w:tcW w:type="dxa" w:w="7726"/>
            <w:tcBorders>
              <w:top w:val="single" w:color="C9D2DA" w:sz="1"/>
              <w:left w:val="single" w:color="C9D2DA" w:sz="1"/>
              <w:bottom w:val="single" w:color="C9D2DA" w:sz="1"/>
              <w:right w:val="single" w:color="C9D2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Client-specific Quality Assurance / business rule set applied during enrichment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A" w:sz="4" w:space="4"/>
      </w:pBdr>
      <w:tabs>
        <w:tab w:val="right" w:pos="9026"/>
      </w:tabs>
    </w:pPr>
    <w:r>
      <w:rPr>
        <w:color w:val="1C2A36"/>
        <w:sz w:val="15"/>
        <w:szCs w:val="15"/>
      </w:rPr>
      <w:t xml:space="preserve">Internal — Draft 0.1</w:t>
    </w:r>
    <w:r>
      <w:rPr>
        <w:color w:val="1C2A36"/>
        <w:sz w:val="15"/>
        <w:szCs w:val="15"/>
      </w:rPr>
      <w:t xml:space="preserve">	Page </w:t>
    </w:r>
    <w:r>
      <w:rPr>
        <w:color w:val="1C2A3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1C2A36"/>
        <w:sz w:val="15"/>
        <w:szCs w:val="15"/>
      </w:rPr>
      <w:t xml:space="preserve"> of </w:t>
    </w:r>
    <w:r>
      <w:rPr>
        <w:color w:val="1C2A3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tabs>
        <w:tab w:val="right" w:pos="9026"/>
      </w:tabs>
    </w:pPr>
    <w:r>
      <w:rPr>
        <w:b/>
        <w:bCs/>
        <w:color w:val="0E7C86"/>
        <w:spacing w:val="40"/>
        <w:sz w:val="16"/>
        <w:szCs w:val="16"/>
      </w:rPr>
      <w:t xml:space="preserve">SYNOVIA FUSION</w:t>
    </w:r>
    <w:r>
      <w:rPr>
        <w:color w:val="12355B"/>
        <w:sz w:val="16"/>
        <w:szCs w:val="16"/>
      </w:rPr>
      <w:t xml:space="preserve">	Fusion Flow — Functional Specification (R1)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2A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4919B" w:sz="8" w:space="4"/>
      </w:pBdr>
      <w:spacing w:after="160" w:before="320"/>
      <w:outlineLvl w:val="0"/>
    </w:pPr>
    <w:rPr>
      <w:rFonts w:ascii="Segoe UI" w:cs="Segoe UI" w:eastAsia="Segoe UI" w:hAnsi="Segoe UI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Segoe UI" w:cs="Segoe UI" w:eastAsia="Segoe UI" w:hAnsi="Segoe UI"/>
      <w:b/>
      <w:bCs/>
      <w:color w:val="1235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egoe UI" w:cs="Segoe UI" w:eastAsia="Segoe UI" w:hAnsi="Segoe UI"/>
      <w:b/>
      <w:bCs/>
      <w:color w:val="0E7C8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 Flow R1 Functional Specification</dc:title>
  <dc:creator>Synovia Digital</dc:creator>
  <cp:lastModifiedBy>Un-named</cp:lastModifiedBy>
  <cp:revision>1</cp:revision>
  <dcterms:created xsi:type="dcterms:W3CDTF">2026-06-25T10:40:11.413Z</dcterms:created>
  <dcterms:modified xsi:type="dcterms:W3CDTF">2026-06-25T10:40:11.413Z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