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B544" w14:textId="77777777" w:rsidR="009F5679" w:rsidRDefault="00E3729A">
      <w:pPr>
        <w:pStyle w:val="Title"/>
      </w:pPr>
      <w:r>
        <w:t>Technical Details Overview</w:t>
      </w:r>
    </w:p>
    <w:p w14:paraId="3590B9DC" w14:textId="77777777" w:rsidR="009F5679" w:rsidRDefault="00E3729A">
      <w:pPr>
        <w:pStyle w:val="Subtitle"/>
      </w:pPr>
      <w:r>
        <w:t>Fusion Flow V3 QAS - Architecture and Stack Alignment Proposal</w:t>
      </w:r>
    </w:p>
    <w:p w14:paraId="0C3703B1" w14:textId="77777777" w:rsidR="009F5679" w:rsidRDefault="00E3729A">
      <w:r>
        <w:rPr>
          <w:b/>
        </w:rPr>
        <w:t>Status: Draft for team agreement</w:t>
      </w:r>
    </w:p>
    <w:p w14:paraId="35955DD1" w14:textId="77777777" w:rsidR="009F5679" w:rsidRDefault="00E3729A">
      <w:r>
        <w:t>Project: Fusion Flow V3 QAS</w:t>
      </w:r>
    </w:p>
    <w:p w14:paraId="3E3CDD76" w14:textId="77777777" w:rsidR="009F5679" w:rsidRDefault="00E3729A">
      <w:r>
        <w:t>Date: June 2026</w:t>
      </w:r>
    </w:p>
    <w:p w14:paraId="4008DD18" w14:textId="77777777" w:rsidR="009F5679" w:rsidRDefault="00E3729A">
      <w:r>
        <w:t>Purpose: align the team before implementation starts, without locking decisions that still require confirmation.</w:t>
      </w:r>
    </w:p>
    <w:p w14:paraId="2F16CAC5" w14:textId="77777777" w:rsidR="009F5679" w:rsidRDefault="00E3729A">
      <w:pPr>
        <w:jc w:val="center"/>
      </w:pPr>
      <w:r>
        <w:rPr>
          <w:noProof/>
        </w:rPr>
        <w:drawing>
          <wp:inline distT="0" distB="0" distL="0" distR="0" wp14:anchorId="141E95D6" wp14:editId="7466E46B">
            <wp:extent cx="2926080" cy="1800664"/>
            <wp:effectExtent l="0" t="0" r="0" b="0"/>
            <wp:docPr id="1" name="synovia_flow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novia_flow_1.0.png"/>
                    <pic:cNvPicPr/>
                  </pic:nvPicPr>
                  <pic:blipFill>
                    <a:blip r:embed="rId4"/>
                    <a:stretch>
                      <a:fillRect/>
                    </a:stretch>
                  </pic:blipFill>
                  <pic:spPr>
                    <a:xfrm>
                      <a:off x="0" y="0"/>
                      <a:ext cx="2926080" cy="1800664"/>
                    </a:xfrm>
                    <a:prstGeom prst="rect">
                      <a:avLst/>
                    </a:prstGeom>
                  </pic:spPr>
                </pic:pic>
              </a:graphicData>
            </a:graphic>
          </wp:inline>
        </w:drawing>
      </w:r>
    </w:p>
    <w:p w14:paraId="186DB45F" w14:textId="77777777" w:rsidR="009F5679" w:rsidRDefault="00E3729A">
      <w:r>
        <w:br w:type="page"/>
      </w:r>
    </w:p>
    <w:p w14:paraId="43AD5AF5" w14:textId="77777777" w:rsidR="009F5679" w:rsidRDefault="00E3729A">
      <w:pPr>
        <w:pStyle w:val="Heading1"/>
      </w:pPr>
      <w:r>
        <w:lastRenderedPageBreak/>
        <w:t>1. Purpose</w:t>
      </w:r>
    </w:p>
    <w:p w14:paraId="6C87368D" w14:textId="77777777" w:rsidR="009F5679" w:rsidRDefault="00E3729A">
      <w:r>
        <w:t>This document sets out the proposed architecture and technology stack for Fusion Flow V3 QAS. It is intended to support team alignment before development starts. It does not assume final approval; each major decision is framed as a recommendation to confirm.</w:t>
      </w:r>
    </w:p>
    <w:p w14:paraId="1A44BF5A" w14:textId="77777777" w:rsidR="009F5679" w:rsidRDefault="00E3729A">
      <w:r>
        <w:t>The scope is architecture, maintainability, operating cost, supportability and delivery risk. Detailed functional requirements remain separate from this document.</w:t>
      </w:r>
    </w:p>
    <w:p w14:paraId="5A6DAA8C" w14:textId="77777777" w:rsidR="009F5679" w:rsidRDefault="00E3729A">
      <w:pPr>
        <w:pStyle w:val="Heading1"/>
      </w:pPr>
      <w:r>
        <w:t>2. Current Context</w:t>
      </w:r>
    </w:p>
    <w:p w14:paraId="3C34A84F" w14:textId="77777777" w:rsidR="009F5679" w:rsidRDefault="00E3729A">
      <w:r>
        <w:rPr>
          <w:i/>
        </w:rPr>
        <w:t>Reference: github.com/Synovia-Digital/Fusion_Flow_V2_</w:t>
      </w:r>
      <w:proofErr w:type="gramStart"/>
      <w:r>
        <w:rPr>
          <w:i/>
        </w:rPr>
        <w:t>BKD  —</w:t>
      </w:r>
      <w:proofErr w:type="gramEnd"/>
      <w:r>
        <w:rPr>
          <w:i/>
        </w:rPr>
        <w:t xml:space="preserve">  branch: prod</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2200"/>
        <w:gridCol w:w="3600"/>
        <w:gridCol w:w="3600"/>
      </w:tblGrid>
      <w:tr w:rsidR="009F5679" w14:paraId="7D6B0F8C" w14:textId="77777777">
        <w:tblPrEx>
          <w:tblCellMar>
            <w:top w:w="0" w:type="dxa"/>
            <w:left w:w="0" w:type="dxa"/>
            <w:bottom w:w="0" w:type="dxa"/>
            <w:right w:w="0" w:type="dxa"/>
          </w:tblCellMar>
        </w:tblPrEx>
        <w:tc>
          <w:tcPr>
            <w:tcW w:w="2200" w:type="dxa"/>
            <w:shd w:val="clear" w:color="auto" w:fill="1F4E79"/>
          </w:tcPr>
          <w:p w14:paraId="4B29A44F" w14:textId="77777777" w:rsidR="009F5679" w:rsidRDefault="00E3729A">
            <w:r>
              <w:rPr>
                <w:b/>
                <w:color w:val="FFFFFF"/>
              </w:rPr>
              <w:t>Input</w:t>
            </w:r>
          </w:p>
        </w:tc>
        <w:tc>
          <w:tcPr>
            <w:tcW w:w="3600" w:type="dxa"/>
            <w:shd w:val="clear" w:color="auto" w:fill="1F4E79"/>
          </w:tcPr>
          <w:p w14:paraId="17913ABA" w14:textId="77777777" w:rsidR="009F5679" w:rsidRDefault="00E3729A">
            <w:r>
              <w:rPr>
                <w:b/>
                <w:color w:val="FFFFFF"/>
              </w:rPr>
              <w:t>Observed Direction</w:t>
            </w:r>
          </w:p>
        </w:tc>
        <w:tc>
          <w:tcPr>
            <w:tcW w:w="3600" w:type="dxa"/>
            <w:shd w:val="clear" w:color="auto" w:fill="1F4E79"/>
          </w:tcPr>
          <w:p w14:paraId="3986A4BF" w14:textId="77777777" w:rsidR="009F5679" w:rsidRDefault="00E3729A">
            <w:r>
              <w:rPr>
                <w:b/>
                <w:color w:val="FFFFFF"/>
              </w:rPr>
              <w:t>Why It Matters</w:t>
            </w:r>
          </w:p>
        </w:tc>
      </w:tr>
      <w:tr w:rsidR="009F5679" w14:paraId="070CEF62" w14:textId="77777777">
        <w:tblPrEx>
          <w:tblCellMar>
            <w:top w:w="0" w:type="dxa"/>
            <w:left w:w="0" w:type="dxa"/>
            <w:bottom w:w="0" w:type="dxa"/>
            <w:right w:w="0" w:type="dxa"/>
          </w:tblCellMar>
        </w:tblPrEx>
        <w:tc>
          <w:tcPr>
            <w:tcW w:w="2200" w:type="dxa"/>
            <w:shd w:val="clear" w:color="auto" w:fill="FFFFFF"/>
          </w:tcPr>
          <w:p w14:paraId="0F4057BD" w14:textId="77777777" w:rsidR="009F5679" w:rsidRDefault="00E3729A">
            <w:r>
              <w:t>Fusion Flow V2 BKD prod</w:t>
            </w:r>
          </w:p>
        </w:tc>
        <w:tc>
          <w:tcPr>
            <w:tcW w:w="3600" w:type="dxa"/>
            <w:shd w:val="clear" w:color="auto" w:fill="FFFFFF"/>
          </w:tcPr>
          <w:p w14:paraId="32729419" w14:textId="77777777" w:rsidR="009F5679" w:rsidRDefault="00E3729A">
            <w:r>
              <w:t xml:space="preserve">Flask, Jinja templates, native HTML/CSS/JS, Azure SQL via </w:t>
            </w:r>
            <w:proofErr w:type="spellStart"/>
            <w:r>
              <w:t>pyodbc</w:t>
            </w:r>
            <w:proofErr w:type="spellEnd"/>
            <w:r>
              <w:t>, Docker/</w:t>
            </w:r>
            <w:proofErr w:type="spellStart"/>
            <w:r>
              <w:t>Gunicorn</w:t>
            </w:r>
            <w:proofErr w:type="spellEnd"/>
            <w:r>
              <w:t>, Render services and scheduled jobs. Repo: github.com/Synovia-Digital/Fusion_Flow_V2_BKD (branch: prod).</w:t>
            </w:r>
          </w:p>
        </w:tc>
        <w:tc>
          <w:tcPr>
            <w:tcW w:w="3600" w:type="dxa"/>
            <w:shd w:val="clear" w:color="auto" w:fill="FFFFFF"/>
          </w:tcPr>
          <w:p w14:paraId="70A863E3" w14:textId="77777777" w:rsidR="009F5679" w:rsidRDefault="00E3729A">
            <w:r>
              <w:t>This is the closest working reference and reduces delivery risk if V3 follows familiar patterns.</w:t>
            </w:r>
          </w:p>
        </w:tc>
      </w:tr>
      <w:tr w:rsidR="009F5679" w14:paraId="3251EA11" w14:textId="77777777">
        <w:tblPrEx>
          <w:tblCellMar>
            <w:top w:w="0" w:type="dxa"/>
            <w:left w:w="0" w:type="dxa"/>
            <w:bottom w:w="0" w:type="dxa"/>
            <w:right w:w="0" w:type="dxa"/>
          </w:tblCellMar>
        </w:tblPrEx>
        <w:tc>
          <w:tcPr>
            <w:tcW w:w="2200" w:type="dxa"/>
            <w:shd w:val="clear" w:color="auto" w:fill="F4F7FB"/>
          </w:tcPr>
          <w:p w14:paraId="16483615" w14:textId="77777777" w:rsidR="009F5679" w:rsidRDefault="00E3729A">
            <w:r>
              <w:t>Fusion Flow V3 QAS</w:t>
            </w:r>
          </w:p>
        </w:tc>
        <w:tc>
          <w:tcPr>
            <w:tcW w:w="3600" w:type="dxa"/>
            <w:shd w:val="clear" w:color="auto" w:fill="F4F7FB"/>
          </w:tcPr>
          <w:p w14:paraId="6B4F6EEF" w14:textId="77777777" w:rsidR="009F5679" w:rsidRDefault="00E3729A">
            <w:r>
              <w:t>Layered folders, Graph ingestion scripts, SQL Server schemas, minimal Flask health app, native Goods Excel validation prototype.</w:t>
            </w:r>
          </w:p>
        </w:tc>
        <w:tc>
          <w:tcPr>
            <w:tcW w:w="3600" w:type="dxa"/>
            <w:shd w:val="clear" w:color="auto" w:fill="F4F7FB"/>
          </w:tcPr>
          <w:p w14:paraId="615FC693" w14:textId="77777777" w:rsidR="009F5679" w:rsidRDefault="00E3729A">
            <w:r>
              <w:t>The new repo already points toward a lightweight Python service model with DB-first configuration.</w:t>
            </w:r>
          </w:p>
        </w:tc>
      </w:tr>
      <w:tr w:rsidR="009F5679" w14:paraId="3B2DA06B" w14:textId="77777777">
        <w:tblPrEx>
          <w:tblCellMar>
            <w:top w:w="0" w:type="dxa"/>
            <w:left w:w="0" w:type="dxa"/>
            <w:bottom w:w="0" w:type="dxa"/>
            <w:right w:w="0" w:type="dxa"/>
          </w:tblCellMar>
        </w:tblPrEx>
        <w:tc>
          <w:tcPr>
            <w:tcW w:w="2200" w:type="dxa"/>
            <w:shd w:val="clear" w:color="auto" w:fill="FFFFFF"/>
          </w:tcPr>
          <w:p w14:paraId="0B8D60E6" w14:textId="77777777" w:rsidR="009F5679" w:rsidRDefault="00E3729A">
            <w:r>
              <w:t>FRD style and operating model</w:t>
            </w:r>
          </w:p>
        </w:tc>
        <w:tc>
          <w:tcPr>
            <w:tcW w:w="3600" w:type="dxa"/>
            <w:shd w:val="clear" w:color="auto" w:fill="FFFFFF"/>
          </w:tcPr>
          <w:p w14:paraId="49CB1F69" w14:textId="77777777" w:rsidR="009F5679" w:rsidRDefault="00E3729A">
            <w:r>
              <w:t>Formal numbered sections, clear requirements, acceptance criteria and future recommendations.</w:t>
            </w:r>
          </w:p>
        </w:tc>
        <w:tc>
          <w:tcPr>
            <w:tcW w:w="3600" w:type="dxa"/>
            <w:shd w:val="clear" w:color="auto" w:fill="FFFFFF"/>
          </w:tcPr>
          <w:p w14:paraId="1080E068" w14:textId="77777777" w:rsidR="009F5679" w:rsidRDefault="00E3729A">
            <w:r>
              <w:t>The V3 technical overview should stay concise, auditable and easy to approve.</w:t>
            </w:r>
          </w:p>
        </w:tc>
      </w:tr>
    </w:tbl>
    <w:p w14:paraId="606FE9E8" w14:textId="77777777" w:rsidR="009F5679" w:rsidRDefault="009F5679"/>
    <w:p w14:paraId="406D5C99" w14:textId="77777777" w:rsidR="009F5679" w:rsidRDefault="00E3729A">
      <w:pPr>
        <w:pStyle w:val="Heading1"/>
      </w:pPr>
      <w:r>
        <w:t>3. Design Principles</w:t>
      </w:r>
    </w:p>
    <w:p w14:paraId="3E8621F7" w14:textId="77777777" w:rsidR="009F5679" w:rsidRDefault="00E3729A">
      <w:r>
        <w:t>- Maintain the smallest viable stack that can support production operations.</w:t>
      </w:r>
    </w:p>
    <w:p w14:paraId="3AD1C60A" w14:textId="77777777" w:rsidR="009F5679" w:rsidRDefault="00E3729A">
      <w:r>
        <w:t>- Prefer existing proven patterns from V2 where they still fit V3.</w:t>
      </w:r>
    </w:p>
    <w:p w14:paraId="1CA74826" w14:textId="77777777" w:rsidR="009F5679" w:rsidRDefault="00E3729A">
      <w:r>
        <w:t>- Keep tenant-specific behavior in configuration first, not hard-coded branches.</w:t>
      </w:r>
    </w:p>
    <w:p w14:paraId="58879D77" w14:textId="77777777" w:rsidR="009F5679" w:rsidRDefault="00E3729A">
      <w:r>
        <w:t>- Separate source trace, working state and official TSS mirror data.</w:t>
      </w:r>
    </w:p>
    <w:p w14:paraId="65B0B8E4" w14:textId="77777777" w:rsidR="009F5679" w:rsidRDefault="00E3729A">
      <w:r>
        <w:t>- Build for support visibility from phase 1, because automated flows are only maintainable when failures are explainable.</w:t>
      </w:r>
    </w:p>
    <w:p w14:paraId="47B1FACA" w14:textId="77777777" w:rsidR="009F5679" w:rsidRDefault="00E3729A">
      <w:r>
        <w:t>- Avoid adopting a larger frontend or API framework until the product surface requires it.</w:t>
      </w:r>
    </w:p>
    <w:p w14:paraId="11EEE9CF" w14:textId="77777777" w:rsidR="009F5679" w:rsidRDefault="00E3729A">
      <w:pPr>
        <w:pStyle w:val="Heading1"/>
      </w:pPr>
      <w:r>
        <w:t>4. Architecture Overview</w:t>
      </w:r>
    </w:p>
    <w:p w14:paraId="158C562F" w14:textId="77777777" w:rsidR="009F5679" w:rsidRDefault="00E3729A">
      <w:r>
        <w:t>The proposed V3 architecture follows the same business truth model as the existing Flow work: inbound data is captured, traced, transformed into working records, submitted or synced with TSS, and then exposed through support and operational views.</w:t>
      </w:r>
    </w:p>
    <w:p w14:paraId="43D31474" w14:textId="77777777" w:rsidR="009F5679" w:rsidRDefault="00E3729A">
      <w:pPr>
        <w:jc w:val="center"/>
      </w:pPr>
      <w:r>
        <w:rPr>
          <w:noProof/>
        </w:rPr>
        <w:lastRenderedPageBreak/>
        <w:drawing>
          <wp:inline distT="0" distB="0" distL="0" distR="0" wp14:anchorId="2A55C71F" wp14:editId="37C4B99E">
            <wp:extent cx="5852160" cy="5201920"/>
            <wp:effectExtent l="0" t="0" r="0" b="0"/>
            <wp:docPr id="2" name="operations-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erations-flow.png"/>
                    <pic:cNvPicPr/>
                  </pic:nvPicPr>
                  <pic:blipFill>
                    <a:blip r:embed="rId5"/>
                    <a:stretch>
                      <a:fillRect/>
                    </a:stretch>
                  </pic:blipFill>
                  <pic:spPr>
                    <a:xfrm>
                      <a:off x="0" y="0"/>
                      <a:ext cx="5852160" cy="5201920"/>
                    </a:xfrm>
                    <a:prstGeom prst="rect">
                      <a:avLst/>
                    </a:prstGeom>
                  </pic:spPr>
                </pic:pic>
              </a:graphicData>
            </a:graphic>
          </wp:inline>
        </w:drawing>
      </w:r>
    </w:p>
    <w:p w14:paraId="13C475A4" w14:textId="77777777" w:rsidR="009F5679" w:rsidRDefault="00E3729A">
      <w:pPr>
        <w:pStyle w:val="Caption"/>
      </w:pPr>
      <w:r>
        <w:t>Reference visual: existing Fusion Flow ING/STG/TSS architecture map from the V2 production material.</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2200"/>
        <w:gridCol w:w="3400"/>
        <w:gridCol w:w="3600"/>
      </w:tblGrid>
      <w:tr w:rsidR="009F5679" w14:paraId="456D8E91" w14:textId="77777777">
        <w:tblPrEx>
          <w:tblCellMar>
            <w:top w:w="0" w:type="dxa"/>
            <w:left w:w="0" w:type="dxa"/>
            <w:bottom w:w="0" w:type="dxa"/>
            <w:right w:w="0" w:type="dxa"/>
          </w:tblCellMar>
        </w:tblPrEx>
        <w:tc>
          <w:tcPr>
            <w:tcW w:w="2200" w:type="dxa"/>
            <w:shd w:val="clear" w:color="auto" w:fill="1F4E79"/>
          </w:tcPr>
          <w:p w14:paraId="72E1E3B3" w14:textId="77777777" w:rsidR="009F5679" w:rsidRDefault="00E3729A">
            <w:r>
              <w:rPr>
                <w:b/>
                <w:color w:val="FFFFFF"/>
              </w:rPr>
              <w:t>Layer</w:t>
            </w:r>
          </w:p>
        </w:tc>
        <w:tc>
          <w:tcPr>
            <w:tcW w:w="3400" w:type="dxa"/>
            <w:shd w:val="clear" w:color="auto" w:fill="1F4E79"/>
          </w:tcPr>
          <w:p w14:paraId="5EE94309" w14:textId="77777777" w:rsidR="009F5679" w:rsidRDefault="00E3729A">
            <w:r>
              <w:rPr>
                <w:b/>
                <w:color w:val="FFFFFF"/>
              </w:rPr>
              <w:t>Purpose</w:t>
            </w:r>
          </w:p>
        </w:tc>
        <w:tc>
          <w:tcPr>
            <w:tcW w:w="3600" w:type="dxa"/>
            <w:shd w:val="clear" w:color="auto" w:fill="1F4E79"/>
          </w:tcPr>
          <w:p w14:paraId="35BD9799" w14:textId="77777777" w:rsidR="009F5679" w:rsidRDefault="00E3729A">
            <w:r>
              <w:rPr>
                <w:b/>
                <w:color w:val="FFFFFF"/>
              </w:rPr>
              <w:t>V3 Direction</w:t>
            </w:r>
          </w:p>
        </w:tc>
      </w:tr>
      <w:tr w:rsidR="009F5679" w14:paraId="32306C29" w14:textId="77777777">
        <w:tblPrEx>
          <w:tblCellMar>
            <w:top w:w="0" w:type="dxa"/>
            <w:left w:w="0" w:type="dxa"/>
            <w:bottom w:w="0" w:type="dxa"/>
            <w:right w:w="0" w:type="dxa"/>
          </w:tblCellMar>
        </w:tblPrEx>
        <w:tc>
          <w:tcPr>
            <w:tcW w:w="2200" w:type="dxa"/>
            <w:shd w:val="clear" w:color="auto" w:fill="FFFFFF"/>
          </w:tcPr>
          <w:p w14:paraId="17031D2E" w14:textId="77777777" w:rsidR="009F5679" w:rsidRDefault="00E3729A">
            <w:r>
              <w:t>Documentation Layer</w:t>
            </w:r>
          </w:p>
        </w:tc>
        <w:tc>
          <w:tcPr>
            <w:tcW w:w="3400" w:type="dxa"/>
            <w:shd w:val="clear" w:color="auto" w:fill="FFFFFF"/>
          </w:tcPr>
          <w:p w14:paraId="6D8332A4" w14:textId="77777777" w:rsidR="009F5679" w:rsidRDefault="00E3729A">
            <w:proofErr w:type="gramStart"/>
            <w:r>
              <w:t>Explains</w:t>
            </w:r>
            <w:proofErr w:type="gramEnd"/>
            <w:r>
              <w:t xml:space="preserve"> why the system exists and what has been agreed.</w:t>
            </w:r>
          </w:p>
        </w:tc>
        <w:tc>
          <w:tcPr>
            <w:tcW w:w="3600" w:type="dxa"/>
            <w:shd w:val="clear" w:color="auto" w:fill="FFFFFF"/>
          </w:tcPr>
          <w:p w14:paraId="5D3AC1FA" w14:textId="77777777" w:rsidR="009F5679" w:rsidRDefault="00E3729A">
            <w:r>
              <w:t>Architecture notes, operating model, decision records, runbooks and requirements.</w:t>
            </w:r>
          </w:p>
        </w:tc>
      </w:tr>
      <w:tr w:rsidR="009F5679" w14:paraId="730C014A" w14:textId="77777777">
        <w:tblPrEx>
          <w:tblCellMar>
            <w:top w:w="0" w:type="dxa"/>
            <w:left w:w="0" w:type="dxa"/>
            <w:bottom w:w="0" w:type="dxa"/>
            <w:right w:w="0" w:type="dxa"/>
          </w:tblCellMar>
        </w:tblPrEx>
        <w:tc>
          <w:tcPr>
            <w:tcW w:w="2200" w:type="dxa"/>
            <w:shd w:val="clear" w:color="auto" w:fill="F4F7FB"/>
          </w:tcPr>
          <w:p w14:paraId="06B240A8" w14:textId="77777777" w:rsidR="009F5679" w:rsidRDefault="00E3729A">
            <w:r>
              <w:t>Configuration Layer</w:t>
            </w:r>
          </w:p>
        </w:tc>
        <w:tc>
          <w:tcPr>
            <w:tcW w:w="3400" w:type="dxa"/>
            <w:shd w:val="clear" w:color="auto" w:fill="F4F7FB"/>
          </w:tcPr>
          <w:p w14:paraId="7F6725C0" w14:textId="77777777" w:rsidR="009F5679" w:rsidRDefault="00E3729A">
            <w:r>
              <w:t>Owns database contracts and tenant/runtime configuration.</w:t>
            </w:r>
          </w:p>
        </w:tc>
        <w:tc>
          <w:tcPr>
            <w:tcW w:w="3600" w:type="dxa"/>
            <w:shd w:val="clear" w:color="auto" w:fill="F4F7FB"/>
          </w:tcPr>
          <w:p w14:paraId="332023D9" w14:textId="77777777" w:rsidR="009F5679" w:rsidRDefault="00E3729A">
            <w:r>
              <w:t>SQL migrations, seeds, tenant settings, Graph routes, pack rules and environment gates.</w:t>
            </w:r>
          </w:p>
        </w:tc>
      </w:tr>
      <w:tr w:rsidR="009F5679" w14:paraId="671233AF" w14:textId="77777777">
        <w:tblPrEx>
          <w:tblCellMar>
            <w:top w:w="0" w:type="dxa"/>
            <w:left w:w="0" w:type="dxa"/>
            <w:bottom w:w="0" w:type="dxa"/>
            <w:right w:w="0" w:type="dxa"/>
          </w:tblCellMar>
        </w:tblPrEx>
        <w:tc>
          <w:tcPr>
            <w:tcW w:w="2200" w:type="dxa"/>
            <w:shd w:val="clear" w:color="auto" w:fill="FFFFFF"/>
          </w:tcPr>
          <w:p w14:paraId="2E9A5C56" w14:textId="77777777" w:rsidR="009F5679" w:rsidRDefault="00E3729A">
            <w:r>
              <w:t>Integration Layer</w:t>
            </w:r>
          </w:p>
        </w:tc>
        <w:tc>
          <w:tcPr>
            <w:tcW w:w="3400" w:type="dxa"/>
            <w:shd w:val="clear" w:color="auto" w:fill="FFFFFF"/>
          </w:tcPr>
          <w:p w14:paraId="72D50ACF" w14:textId="77777777" w:rsidR="009F5679" w:rsidRDefault="00E3729A">
            <w:r>
              <w:t>Owns executable services and automation entry points.</w:t>
            </w:r>
          </w:p>
        </w:tc>
        <w:tc>
          <w:tcPr>
            <w:tcW w:w="3600" w:type="dxa"/>
            <w:shd w:val="clear" w:color="auto" w:fill="FFFFFF"/>
          </w:tcPr>
          <w:p w14:paraId="720C908C" w14:textId="77777777" w:rsidR="009F5679" w:rsidRDefault="00E3729A">
            <w:r>
              <w:t>Flask app, FLOW_V3 scripts, Graph ingestion, TSS client, validation and notifications.</w:t>
            </w:r>
          </w:p>
        </w:tc>
      </w:tr>
      <w:tr w:rsidR="009F5679" w14:paraId="7BBCDBD5" w14:textId="77777777">
        <w:tblPrEx>
          <w:tblCellMar>
            <w:top w:w="0" w:type="dxa"/>
            <w:left w:w="0" w:type="dxa"/>
            <w:bottom w:w="0" w:type="dxa"/>
            <w:right w:w="0" w:type="dxa"/>
          </w:tblCellMar>
        </w:tblPrEx>
        <w:tc>
          <w:tcPr>
            <w:tcW w:w="2200" w:type="dxa"/>
            <w:shd w:val="clear" w:color="auto" w:fill="F4F7FB"/>
          </w:tcPr>
          <w:p w14:paraId="40559EE9" w14:textId="77777777" w:rsidR="009F5679" w:rsidRDefault="00E3729A">
            <w:r>
              <w:t>Infrastructure Layer</w:t>
            </w:r>
          </w:p>
        </w:tc>
        <w:tc>
          <w:tcPr>
            <w:tcW w:w="3400" w:type="dxa"/>
            <w:shd w:val="clear" w:color="auto" w:fill="F4F7FB"/>
          </w:tcPr>
          <w:p w14:paraId="2FBE1E6C" w14:textId="77777777" w:rsidR="009F5679" w:rsidRDefault="00E3729A">
            <w:r>
              <w:t>Owns deployable runtime shape.</w:t>
            </w:r>
          </w:p>
        </w:tc>
        <w:tc>
          <w:tcPr>
            <w:tcW w:w="3600" w:type="dxa"/>
            <w:shd w:val="clear" w:color="auto" w:fill="F4F7FB"/>
          </w:tcPr>
          <w:p w14:paraId="2BA1DD8B" w14:textId="77777777" w:rsidR="009F5679" w:rsidRDefault="00E3729A">
            <w:r>
              <w:t xml:space="preserve">Azure definitions first, Render/Docker only </w:t>
            </w:r>
            <w:proofErr w:type="gramStart"/>
            <w:r>
              <w:t>where</w:t>
            </w:r>
            <w:proofErr w:type="gramEnd"/>
            <w:r>
              <w:t xml:space="preserve"> useful for QAS or temporary hosting.</w:t>
            </w:r>
          </w:p>
        </w:tc>
      </w:tr>
    </w:tbl>
    <w:p w14:paraId="174A7F61" w14:textId="77777777" w:rsidR="009F5679" w:rsidRDefault="009F5679"/>
    <w:p w14:paraId="20056F9A" w14:textId="67A86CB9" w:rsidR="009F5679" w:rsidRDefault="009D129F">
      <w:pPr>
        <w:pStyle w:val="Heading2"/>
      </w:pPr>
      <w:r>
        <w:lastRenderedPageBreak/>
        <w:br/>
      </w:r>
      <w:r w:rsidR="00E3729A">
        <w:t>High Level Design</w:t>
      </w:r>
    </w:p>
    <w:p w14:paraId="0B9725BD" w14:textId="77777777" w:rsidR="009F5679" w:rsidRDefault="00E3729A">
      <w:r>
        <w:t>This visual shows the proposed end-to-end shape: inbound sources, Graph intake, FLOW_V3 jobs, Azure SQL layers, the Flask support portal and external services such as TSS and Microsoft Graph.</w:t>
      </w:r>
    </w:p>
    <w:p w14:paraId="408F7F61" w14:textId="77777777" w:rsidR="009F5679" w:rsidRDefault="00E3729A">
      <w:pPr>
        <w:jc w:val="center"/>
      </w:pPr>
      <w:r>
        <w:rPr>
          <w:noProof/>
        </w:rPr>
        <w:drawing>
          <wp:inline distT="0" distB="0" distL="0" distR="0" wp14:anchorId="1111B592" wp14:editId="6F6F6D57">
            <wp:extent cx="5943600" cy="3632200"/>
            <wp:effectExtent l="0" t="0" r="0" b="0"/>
            <wp:docPr id="30" name="high_level_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igh_level_design.png"/>
                    <pic:cNvPicPr/>
                  </pic:nvPicPr>
                  <pic:blipFill>
                    <a:blip r:embed="rId6"/>
                    <a:stretch>
                      <a:fillRect/>
                    </a:stretch>
                  </pic:blipFill>
                  <pic:spPr>
                    <a:xfrm>
                      <a:off x="0" y="0"/>
                      <a:ext cx="5943600" cy="3632200"/>
                    </a:xfrm>
                    <a:prstGeom prst="rect">
                      <a:avLst/>
                    </a:prstGeom>
                  </pic:spPr>
                </pic:pic>
              </a:graphicData>
            </a:graphic>
          </wp:inline>
        </w:drawing>
      </w:r>
    </w:p>
    <w:p w14:paraId="5C167D29" w14:textId="77777777" w:rsidR="009F5679" w:rsidRDefault="00E3729A">
      <w:pPr>
        <w:pStyle w:val="Caption"/>
      </w:pPr>
      <w:r>
        <w:t>High level design proposal for Fusion Flow V3 QAS.</w:t>
      </w:r>
    </w:p>
    <w:p w14:paraId="65CC6E53" w14:textId="77777777" w:rsidR="009F5679" w:rsidRDefault="00E3729A">
      <w:pPr>
        <w:pStyle w:val="Heading2"/>
      </w:pPr>
      <w:r>
        <w:t>Technology Stack Summary</w:t>
      </w:r>
    </w:p>
    <w:p w14:paraId="6EB15D96" w14:textId="77777777" w:rsidR="009F5679" w:rsidRDefault="00E3729A">
      <w:r>
        <w:t xml:space="preserve">This visual </w:t>
      </w:r>
      <w:proofErr w:type="spellStart"/>
      <w:r>
        <w:t>summarises</w:t>
      </w:r>
      <w:proofErr w:type="spellEnd"/>
      <w:r>
        <w:t xml:space="preserve"> the recommended phase 1 stack and the maintenance rationale behind keeping the platform lightweight and close to Flow V2 BKD production patterns.</w:t>
      </w:r>
    </w:p>
    <w:p w14:paraId="256031DD" w14:textId="77777777" w:rsidR="009F5679" w:rsidRDefault="00E3729A">
      <w:pPr>
        <w:jc w:val="center"/>
      </w:pPr>
      <w:r>
        <w:rPr>
          <w:noProof/>
        </w:rPr>
        <w:drawing>
          <wp:inline distT="0" distB="0" distL="0" distR="0" wp14:anchorId="20C29180" wp14:editId="6354AEBE">
            <wp:extent cx="5943600" cy="3467100"/>
            <wp:effectExtent l="0" t="0" r="0" b="0"/>
            <wp:docPr id="31" name="technology_s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echnology_stack.png"/>
                    <pic:cNvPicPr/>
                  </pic:nvPicPr>
                  <pic:blipFill>
                    <a:blip r:embed="rId7"/>
                    <a:stretch>
                      <a:fillRect/>
                    </a:stretch>
                  </pic:blipFill>
                  <pic:spPr>
                    <a:xfrm>
                      <a:off x="0" y="0"/>
                      <a:ext cx="5943600" cy="3467100"/>
                    </a:xfrm>
                    <a:prstGeom prst="rect">
                      <a:avLst/>
                    </a:prstGeom>
                  </pic:spPr>
                </pic:pic>
              </a:graphicData>
            </a:graphic>
          </wp:inline>
        </w:drawing>
      </w:r>
    </w:p>
    <w:p w14:paraId="7665B430" w14:textId="77777777" w:rsidR="009F5679" w:rsidRDefault="00E3729A">
      <w:pPr>
        <w:pStyle w:val="Caption"/>
      </w:pPr>
      <w:r>
        <w:lastRenderedPageBreak/>
        <w:t>Recommended technology stack for phase 1 team agreement.</w:t>
      </w:r>
    </w:p>
    <w:p w14:paraId="36BE8B86" w14:textId="77777777" w:rsidR="009F5679" w:rsidRDefault="00E3729A">
      <w:pPr>
        <w:pStyle w:val="Heading1"/>
      </w:pPr>
      <w:r>
        <w:t>5. Stack Decision Areas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000"/>
        <w:gridCol w:w="1800"/>
        <w:gridCol w:w="3100"/>
        <w:gridCol w:w="3500"/>
      </w:tblGrid>
      <w:tr w:rsidR="009F5679" w14:paraId="2D3BA577" w14:textId="77777777">
        <w:tblPrEx>
          <w:tblCellMar>
            <w:top w:w="0" w:type="dxa"/>
            <w:left w:w="0" w:type="dxa"/>
            <w:bottom w:w="0" w:type="dxa"/>
            <w:right w:w="0" w:type="dxa"/>
          </w:tblCellMar>
        </w:tblPrEx>
        <w:tc>
          <w:tcPr>
            <w:tcW w:w="1000" w:type="dxa"/>
            <w:shd w:val="clear" w:color="auto" w:fill="1F4E79"/>
          </w:tcPr>
          <w:p w14:paraId="46FB77B5" w14:textId="77777777" w:rsidR="009F5679" w:rsidRDefault="00E3729A">
            <w:r>
              <w:rPr>
                <w:b/>
                <w:color w:val="FFFFFF"/>
              </w:rPr>
              <w:t>ID</w:t>
            </w:r>
          </w:p>
        </w:tc>
        <w:tc>
          <w:tcPr>
            <w:tcW w:w="1800" w:type="dxa"/>
            <w:shd w:val="clear" w:color="auto" w:fill="1F4E79"/>
          </w:tcPr>
          <w:p w14:paraId="382C4767" w14:textId="77777777" w:rsidR="009F5679" w:rsidRDefault="00E3729A">
            <w:r>
              <w:rPr>
                <w:b/>
                <w:color w:val="FFFFFF"/>
              </w:rPr>
              <w:t>Area</w:t>
            </w:r>
          </w:p>
        </w:tc>
        <w:tc>
          <w:tcPr>
            <w:tcW w:w="3100" w:type="dxa"/>
            <w:shd w:val="clear" w:color="auto" w:fill="1F4E79"/>
          </w:tcPr>
          <w:p w14:paraId="15BBFC6F" w14:textId="77777777" w:rsidR="009F5679" w:rsidRDefault="00E3729A">
            <w:r>
              <w:rPr>
                <w:b/>
                <w:color w:val="FFFFFF"/>
              </w:rPr>
              <w:t>Recommendation</w:t>
            </w:r>
          </w:p>
        </w:tc>
        <w:tc>
          <w:tcPr>
            <w:tcW w:w="3500" w:type="dxa"/>
            <w:shd w:val="clear" w:color="auto" w:fill="1F4E79"/>
          </w:tcPr>
          <w:p w14:paraId="67CFE2C6" w14:textId="77777777" w:rsidR="009F5679" w:rsidRDefault="00E3729A">
            <w:r>
              <w:rPr>
                <w:b/>
                <w:color w:val="FFFFFF"/>
              </w:rPr>
              <w:t>Rationale</w:t>
            </w:r>
          </w:p>
        </w:tc>
      </w:tr>
      <w:tr w:rsidR="009F5679" w14:paraId="22256746" w14:textId="77777777">
        <w:tblPrEx>
          <w:tblCellMar>
            <w:top w:w="0" w:type="dxa"/>
            <w:left w:w="0" w:type="dxa"/>
            <w:bottom w:w="0" w:type="dxa"/>
            <w:right w:w="0" w:type="dxa"/>
          </w:tblCellMar>
        </w:tblPrEx>
        <w:tc>
          <w:tcPr>
            <w:tcW w:w="1000" w:type="dxa"/>
            <w:shd w:val="clear" w:color="auto" w:fill="FFFFFF"/>
          </w:tcPr>
          <w:p w14:paraId="64479068" w14:textId="77777777" w:rsidR="009F5679" w:rsidRDefault="00E3729A">
            <w:r>
              <w:t>AD-001</w:t>
            </w:r>
          </w:p>
        </w:tc>
        <w:tc>
          <w:tcPr>
            <w:tcW w:w="1800" w:type="dxa"/>
            <w:shd w:val="clear" w:color="auto" w:fill="FFFFFF"/>
          </w:tcPr>
          <w:p w14:paraId="287BDF3E" w14:textId="77777777" w:rsidR="009F5679" w:rsidRDefault="00E3729A">
            <w:r>
              <w:t>Infrastructure</w:t>
            </w:r>
          </w:p>
        </w:tc>
        <w:tc>
          <w:tcPr>
            <w:tcW w:w="3100" w:type="dxa"/>
            <w:shd w:val="clear" w:color="auto" w:fill="FFFFFF"/>
          </w:tcPr>
          <w:p w14:paraId="333011DC" w14:textId="77777777" w:rsidR="009F5679" w:rsidRDefault="00E3729A">
            <w:r>
              <w:t>Azure as the target platform; keep Render as optional QAS/demo fallback.</w:t>
            </w:r>
          </w:p>
        </w:tc>
        <w:tc>
          <w:tcPr>
            <w:tcW w:w="3500" w:type="dxa"/>
            <w:shd w:val="clear" w:color="auto" w:fill="FFFFFF"/>
          </w:tcPr>
          <w:p w14:paraId="5629F193" w14:textId="77777777" w:rsidR="009F5679" w:rsidRDefault="00E3729A">
            <w:r>
              <w:t xml:space="preserve">Azure aligns with Microsoft Graph, Azure SQL, Key Vault, App Insights and storage. Render is useful for quick container deployment but should not drive </w:t>
            </w:r>
            <w:proofErr w:type="gramStart"/>
            <w:r>
              <w:t>the long</w:t>
            </w:r>
            <w:proofErr w:type="gramEnd"/>
            <w:r>
              <w:t>-term architecture.</w:t>
            </w:r>
          </w:p>
        </w:tc>
      </w:tr>
      <w:tr w:rsidR="009F5679" w14:paraId="55F63E1A" w14:textId="77777777">
        <w:tblPrEx>
          <w:tblCellMar>
            <w:top w:w="0" w:type="dxa"/>
            <w:left w:w="0" w:type="dxa"/>
            <w:bottom w:w="0" w:type="dxa"/>
            <w:right w:w="0" w:type="dxa"/>
          </w:tblCellMar>
        </w:tblPrEx>
        <w:tc>
          <w:tcPr>
            <w:tcW w:w="1000" w:type="dxa"/>
            <w:shd w:val="clear" w:color="auto" w:fill="F4F7FB"/>
          </w:tcPr>
          <w:p w14:paraId="0FF7BE3A" w14:textId="77777777" w:rsidR="009F5679" w:rsidRDefault="00E3729A">
            <w:r>
              <w:t>AD-002</w:t>
            </w:r>
          </w:p>
        </w:tc>
        <w:tc>
          <w:tcPr>
            <w:tcW w:w="1800" w:type="dxa"/>
            <w:shd w:val="clear" w:color="auto" w:fill="F4F7FB"/>
          </w:tcPr>
          <w:p w14:paraId="2E4969B9" w14:textId="77777777" w:rsidR="009F5679" w:rsidRDefault="00E3729A">
            <w:r>
              <w:t>Backend</w:t>
            </w:r>
          </w:p>
        </w:tc>
        <w:tc>
          <w:tcPr>
            <w:tcW w:w="3100" w:type="dxa"/>
            <w:shd w:val="clear" w:color="auto" w:fill="F4F7FB"/>
          </w:tcPr>
          <w:p w14:paraId="5169AFF4" w14:textId="77777777" w:rsidR="009F5679" w:rsidRDefault="00E3729A">
            <w:r>
              <w:t>Use Flask with blueprints and service modules.</w:t>
            </w:r>
          </w:p>
        </w:tc>
        <w:tc>
          <w:tcPr>
            <w:tcW w:w="3500" w:type="dxa"/>
            <w:shd w:val="clear" w:color="auto" w:fill="F4F7FB"/>
          </w:tcPr>
          <w:p w14:paraId="5E9003FF" w14:textId="77777777" w:rsidR="009F5679" w:rsidRDefault="00E3729A">
            <w:r>
              <w:t>V2 prod and V3 QAS already use Flask. It is simple, maintainable and sufficient for server-rendered operational tooling.</w:t>
            </w:r>
          </w:p>
        </w:tc>
      </w:tr>
      <w:tr w:rsidR="009F5679" w14:paraId="6ED0C682" w14:textId="77777777">
        <w:tblPrEx>
          <w:tblCellMar>
            <w:top w:w="0" w:type="dxa"/>
            <w:left w:w="0" w:type="dxa"/>
            <w:bottom w:w="0" w:type="dxa"/>
            <w:right w:w="0" w:type="dxa"/>
          </w:tblCellMar>
        </w:tblPrEx>
        <w:tc>
          <w:tcPr>
            <w:tcW w:w="1000" w:type="dxa"/>
            <w:shd w:val="clear" w:color="auto" w:fill="FFFFFF"/>
          </w:tcPr>
          <w:p w14:paraId="62B95DEF" w14:textId="77777777" w:rsidR="009F5679" w:rsidRDefault="00E3729A">
            <w:r>
              <w:t>AD-003</w:t>
            </w:r>
          </w:p>
        </w:tc>
        <w:tc>
          <w:tcPr>
            <w:tcW w:w="1800" w:type="dxa"/>
            <w:shd w:val="clear" w:color="auto" w:fill="FFFFFF"/>
          </w:tcPr>
          <w:p w14:paraId="7C5588A4" w14:textId="77777777" w:rsidR="009F5679" w:rsidRDefault="00E3729A">
            <w:r>
              <w:t>Frontend</w:t>
            </w:r>
          </w:p>
        </w:tc>
        <w:tc>
          <w:tcPr>
            <w:tcW w:w="3100" w:type="dxa"/>
            <w:shd w:val="clear" w:color="auto" w:fill="FFFFFF"/>
          </w:tcPr>
          <w:p w14:paraId="7867EE37" w14:textId="77777777" w:rsidR="009F5679" w:rsidRDefault="00E3729A">
            <w:r>
              <w:t>Use native HTML/CSS/JS with Jinja templates for phase 1.</w:t>
            </w:r>
          </w:p>
        </w:tc>
        <w:tc>
          <w:tcPr>
            <w:tcW w:w="3500" w:type="dxa"/>
            <w:shd w:val="clear" w:color="auto" w:fill="FFFFFF"/>
          </w:tcPr>
          <w:p w14:paraId="462AB0E3" w14:textId="77777777" w:rsidR="009F5679" w:rsidRDefault="00E3729A">
            <w:r>
              <w:t>The product is operational rather than consumer-style SPA. Avoiding React/Angular reduces build complexity, dependency churn and support overhead.</w:t>
            </w:r>
          </w:p>
        </w:tc>
      </w:tr>
      <w:tr w:rsidR="009F5679" w14:paraId="703DAD6C" w14:textId="77777777">
        <w:tblPrEx>
          <w:tblCellMar>
            <w:top w:w="0" w:type="dxa"/>
            <w:left w:w="0" w:type="dxa"/>
            <w:bottom w:w="0" w:type="dxa"/>
            <w:right w:w="0" w:type="dxa"/>
          </w:tblCellMar>
        </w:tblPrEx>
        <w:tc>
          <w:tcPr>
            <w:tcW w:w="1000" w:type="dxa"/>
            <w:shd w:val="clear" w:color="auto" w:fill="F4F7FB"/>
          </w:tcPr>
          <w:p w14:paraId="5A5C6575" w14:textId="77777777" w:rsidR="009F5679" w:rsidRDefault="00E3729A">
            <w:r>
              <w:t>AD-004</w:t>
            </w:r>
          </w:p>
        </w:tc>
        <w:tc>
          <w:tcPr>
            <w:tcW w:w="1800" w:type="dxa"/>
            <w:shd w:val="clear" w:color="auto" w:fill="F4F7FB"/>
          </w:tcPr>
          <w:p w14:paraId="25AD19A4" w14:textId="77777777" w:rsidR="009F5679" w:rsidRDefault="00E3729A">
            <w:r>
              <w:t>Python Runtime</w:t>
            </w:r>
          </w:p>
        </w:tc>
        <w:tc>
          <w:tcPr>
            <w:tcW w:w="3100" w:type="dxa"/>
            <w:shd w:val="clear" w:color="auto" w:fill="F4F7FB"/>
          </w:tcPr>
          <w:p w14:paraId="7CBD5DC6" w14:textId="77777777" w:rsidR="009F5679" w:rsidRDefault="00E3729A">
            <w:proofErr w:type="spellStart"/>
            <w:r>
              <w:t>Standardise</w:t>
            </w:r>
            <w:proofErr w:type="spellEnd"/>
            <w:r>
              <w:t xml:space="preserve"> on Python 3.12.</w:t>
            </w:r>
          </w:p>
        </w:tc>
        <w:tc>
          <w:tcPr>
            <w:tcW w:w="3500" w:type="dxa"/>
            <w:shd w:val="clear" w:color="auto" w:fill="F4F7FB"/>
          </w:tcPr>
          <w:p w14:paraId="07C373C9" w14:textId="77777777" w:rsidR="009F5679" w:rsidRDefault="00E3729A">
            <w:r>
              <w:t>Matches V2 production direction and keeps runtime behavior consistent across services and jobs.</w:t>
            </w:r>
          </w:p>
        </w:tc>
      </w:tr>
      <w:tr w:rsidR="009F5679" w14:paraId="50AFD8B1" w14:textId="77777777">
        <w:tblPrEx>
          <w:tblCellMar>
            <w:top w:w="0" w:type="dxa"/>
            <w:left w:w="0" w:type="dxa"/>
            <w:bottom w:w="0" w:type="dxa"/>
            <w:right w:w="0" w:type="dxa"/>
          </w:tblCellMar>
        </w:tblPrEx>
        <w:tc>
          <w:tcPr>
            <w:tcW w:w="1000" w:type="dxa"/>
            <w:shd w:val="clear" w:color="auto" w:fill="FFFFFF"/>
          </w:tcPr>
          <w:p w14:paraId="09330C69" w14:textId="77777777" w:rsidR="009F5679" w:rsidRDefault="00E3729A">
            <w:r>
              <w:t>AD-005</w:t>
            </w:r>
          </w:p>
        </w:tc>
        <w:tc>
          <w:tcPr>
            <w:tcW w:w="1800" w:type="dxa"/>
            <w:shd w:val="clear" w:color="auto" w:fill="FFFFFF"/>
          </w:tcPr>
          <w:p w14:paraId="066FDB82" w14:textId="77777777" w:rsidR="009F5679" w:rsidRDefault="00E3729A">
            <w:r>
              <w:t>Database</w:t>
            </w:r>
          </w:p>
        </w:tc>
        <w:tc>
          <w:tcPr>
            <w:tcW w:w="3100" w:type="dxa"/>
            <w:shd w:val="clear" w:color="auto" w:fill="FFFFFF"/>
          </w:tcPr>
          <w:p w14:paraId="0C44C905" w14:textId="77777777" w:rsidR="009F5679" w:rsidRDefault="00E3729A">
            <w:r>
              <w:t>Use Azure SQL / SQL Server with schemas CFG, EXC, ING, STG and TSS.</w:t>
            </w:r>
          </w:p>
        </w:tc>
        <w:tc>
          <w:tcPr>
            <w:tcW w:w="3500" w:type="dxa"/>
            <w:shd w:val="clear" w:color="auto" w:fill="FFFFFF"/>
          </w:tcPr>
          <w:p w14:paraId="45E08089" w14:textId="77777777" w:rsidR="009F5679" w:rsidRDefault="00E3729A">
            <w:r>
              <w:t xml:space="preserve">The layered data model supports traceability, </w:t>
            </w:r>
            <w:proofErr w:type="gramStart"/>
            <w:r>
              <w:t>support</w:t>
            </w:r>
            <w:proofErr w:type="gramEnd"/>
            <w:r>
              <w:t xml:space="preserve"> diagnostics, official TSS mirrors and future tenant expansion.</w:t>
            </w:r>
          </w:p>
        </w:tc>
      </w:tr>
      <w:tr w:rsidR="009F5679" w14:paraId="065D4890" w14:textId="77777777">
        <w:tblPrEx>
          <w:tblCellMar>
            <w:top w:w="0" w:type="dxa"/>
            <w:left w:w="0" w:type="dxa"/>
            <w:bottom w:w="0" w:type="dxa"/>
            <w:right w:w="0" w:type="dxa"/>
          </w:tblCellMar>
        </w:tblPrEx>
        <w:tc>
          <w:tcPr>
            <w:tcW w:w="1000" w:type="dxa"/>
            <w:shd w:val="clear" w:color="auto" w:fill="F4F7FB"/>
          </w:tcPr>
          <w:p w14:paraId="0518DEBD" w14:textId="77777777" w:rsidR="009F5679" w:rsidRDefault="00E3729A">
            <w:r>
              <w:t>AD-006</w:t>
            </w:r>
          </w:p>
        </w:tc>
        <w:tc>
          <w:tcPr>
            <w:tcW w:w="1800" w:type="dxa"/>
            <w:shd w:val="clear" w:color="auto" w:fill="F4F7FB"/>
          </w:tcPr>
          <w:p w14:paraId="2625A35F" w14:textId="77777777" w:rsidR="009F5679" w:rsidRDefault="00E3729A">
            <w:r>
              <w:t>ODBC Driver</w:t>
            </w:r>
          </w:p>
        </w:tc>
        <w:tc>
          <w:tcPr>
            <w:tcW w:w="3100" w:type="dxa"/>
            <w:shd w:val="clear" w:color="auto" w:fill="F4F7FB"/>
          </w:tcPr>
          <w:p w14:paraId="0CF93B85" w14:textId="77777777" w:rsidR="009F5679" w:rsidRDefault="00E3729A">
            <w:r>
              <w:t>Use ODBC Driver 18 as the new standard; keep Driver 17 as fallback only.</w:t>
            </w:r>
          </w:p>
        </w:tc>
        <w:tc>
          <w:tcPr>
            <w:tcW w:w="3500" w:type="dxa"/>
            <w:shd w:val="clear" w:color="auto" w:fill="F4F7FB"/>
          </w:tcPr>
          <w:p w14:paraId="506D2625" w14:textId="77777777" w:rsidR="009F5679" w:rsidRDefault="00E3729A">
            <w:r>
              <w:t>V3 configuration already points to Driver 18. Keeping Driver 17 as fallback protects local compatibility while moving forward.</w:t>
            </w:r>
          </w:p>
        </w:tc>
      </w:tr>
      <w:tr w:rsidR="009F5679" w14:paraId="27AF8818" w14:textId="77777777">
        <w:tblPrEx>
          <w:tblCellMar>
            <w:top w:w="0" w:type="dxa"/>
            <w:left w:w="0" w:type="dxa"/>
            <w:bottom w:w="0" w:type="dxa"/>
            <w:right w:w="0" w:type="dxa"/>
          </w:tblCellMar>
        </w:tblPrEx>
        <w:tc>
          <w:tcPr>
            <w:tcW w:w="1000" w:type="dxa"/>
            <w:shd w:val="clear" w:color="auto" w:fill="FFFFFF"/>
          </w:tcPr>
          <w:p w14:paraId="43B57E1A" w14:textId="77777777" w:rsidR="009F5679" w:rsidRDefault="00E3729A">
            <w:r>
              <w:t>AD-007</w:t>
            </w:r>
          </w:p>
        </w:tc>
        <w:tc>
          <w:tcPr>
            <w:tcW w:w="1800" w:type="dxa"/>
            <w:shd w:val="clear" w:color="auto" w:fill="FFFFFF"/>
          </w:tcPr>
          <w:p w14:paraId="24B3715B" w14:textId="77777777" w:rsidR="009F5679" w:rsidRDefault="00E3729A">
            <w:r>
              <w:t>Support Portal</w:t>
            </w:r>
          </w:p>
        </w:tc>
        <w:tc>
          <w:tcPr>
            <w:tcW w:w="3100" w:type="dxa"/>
            <w:shd w:val="clear" w:color="auto" w:fill="FFFFFF"/>
          </w:tcPr>
          <w:p w14:paraId="13107598" w14:textId="77777777" w:rsidR="009F5679" w:rsidRDefault="00E3729A">
            <w:r>
              <w:t>Include support/technical views from phase 1.</w:t>
            </w:r>
          </w:p>
        </w:tc>
        <w:tc>
          <w:tcPr>
            <w:tcW w:w="3500" w:type="dxa"/>
            <w:shd w:val="clear" w:color="auto" w:fill="FFFFFF"/>
          </w:tcPr>
          <w:p w14:paraId="797C1145" w14:textId="77777777" w:rsidR="009F5679" w:rsidRDefault="00E3729A">
            <w:r>
              <w:t>Automated ingestion and TSS submission need health checks, queues, logs, retry paths and failure explanations to remain supportable.</w:t>
            </w:r>
          </w:p>
        </w:tc>
      </w:tr>
      <w:tr w:rsidR="009F5679" w14:paraId="658317D9" w14:textId="77777777">
        <w:tblPrEx>
          <w:tblCellMar>
            <w:top w:w="0" w:type="dxa"/>
            <w:left w:w="0" w:type="dxa"/>
            <w:bottom w:w="0" w:type="dxa"/>
            <w:right w:w="0" w:type="dxa"/>
          </w:tblCellMar>
        </w:tblPrEx>
        <w:tc>
          <w:tcPr>
            <w:tcW w:w="1000" w:type="dxa"/>
            <w:shd w:val="clear" w:color="auto" w:fill="F4F7FB"/>
          </w:tcPr>
          <w:p w14:paraId="1404B64C" w14:textId="77777777" w:rsidR="009F5679" w:rsidRDefault="00E3729A">
            <w:r>
              <w:t>AD-008</w:t>
            </w:r>
          </w:p>
        </w:tc>
        <w:tc>
          <w:tcPr>
            <w:tcW w:w="1800" w:type="dxa"/>
            <w:shd w:val="clear" w:color="auto" w:fill="F4F7FB"/>
          </w:tcPr>
          <w:p w14:paraId="13D23038" w14:textId="77777777" w:rsidR="009F5679" w:rsidRDefault="00E3729A">
            <w:r>
              <w:t>Analytics</w:t>
            </w:r>
          </w:p>
        </w:tc>
        <w:tc>
          <w:tcPr>
            <w:tcW w:w="3100" w:type="dxa"/>
            <w:shd w:val="clear" w:color="auto" w:fill="F4F7FB"/>
          </w:tcPr>
          <w:p w14:paraId="01908713" w14:textId="77777777" w:rsidR="009F5679" w:rsidRDefault="00E3729A">
            <w:r>
              <w:t>Start with operational analytics only.</w:t>
            </w:r>
          </w:p>
        </w:tc>
        <w:tc>
          <w:tcPr>
            <w:tcW w:w="3500" w:type="dxa"/>
            <w:shd w:val="clear" w:color="auto" w:fill="F4F7FB"/>
          </w:tcPr>
          <w:p w14:paraId="209A9642" w14:textId="77777777" w:rsidR="009F5679" w:rsidRDefault="00E3729A">
            <w:r>
              <w:t xml:space="preserve">Volumes, errors, latency and job status are useful immediately. Full BI should wait until data contracts </w:t>
            </w:r>
            <w:proofErr w:type="spellStart"/>
            <w:r>
              <w:t>stabilise</w:t>
            </w:r>
            <w:proofErr w:type="spellEnd"/>
            <w:r>
              <w:t>.</w:t>
            </w:r>
          </w:p>
        </w:tc>
      </w:tr>
      <w:tr w:rsidR="009F5679" w14:paraId="68E35970" w14:textId="77777777">
        <w:tblPrEx>
          <w:tblCellMar>
            <w:top w:w="0" w:type="dxa"/>
            <w:left w:w="0" w:type="dxa"/>
            <w:bottom w:w="0" w:type="dxa"/>
            <w:right w:w="0" w:type="dxa"/>
          </w:tblCellMar>
        </w:tblPrEx>
        <w:tc>
          <w:tcPr>
            <w:tcW w:w="1000" w:type="dxa"/>
            <w:shd w:val="clear" w:color="auto" w:fill="FFFFFF"/>
          </w:tcPr>
          <w:p w14:paraId="7136DC2C" w14:textId="77777777" w:rsidR="009F5679" w:rsidRDefault="00E3729A">
            <w:r>
              <w:t>AD-009</w:t>
            </w:r>
          </w:p>
        </w:tc>
        <w:tc>
          <w:tcPr>
            <w:tcW w:w="1800" w:type="dxa"/>
            <w:shd w:val="clear" w:color="auto" w:fill="FFFFFF"/>
          </w:tcPr>
          <w:p w14:paraId="60A98190" w14:textId="77777777" w:rsidR="009F5679" w:rsidRDefault="00E3729A">
            <w:r>
              <w:t>Jobs</w:t>
            </w:r>
          </w:p>
        </w:tc>
        <w:tc>
          <w:tcPr>
            <w:tcW w:w="3100" w:type="dxa"/>
            <w:shd w:val="clear" w:color="auto" w:fill="FFFFFF"/>
          </w:tcPr>
          <w:p w14:paraId="61DC5BA2" w14:textId="77777777" w:rsidR="009F5679" w:rsidRDefault="00E3729A">
            <w:r>
              <w:t xml:space="preserve">Use explicit FLOW_V3 scripts and scheduled jobs before introducing heavier </w:t>
            </w:r>
            <w:r>
              <w:lastRenderedPageBreak/>
              <w:t>orchestration.</w:t>
            </w:r>
          </w:p>
        </w:tc>
        <w:tc>
          <w:tcPr>
            <w:tcW w:w="3500" w:type="dxa"/>
            <w:shd w:val="clear" w:color="auto" w:fill="FFFFFF"/>
          </w:tcPr>
          <w:p w14:paraId="5DB44C63" w14:textId="77777777" w:rsidR="009F5679" w:rsidRDefault="00E3729A">
            <w:r>
              <w:lastRenderedPageBreak/>
              <w:t xml:space="preserve">The current process naturally maps to steps 01-05. Simple jobs are cheaper to operate and easier to </w:t>
            </w:r>
            <w:r>
              <w:lastRenderedPageBreak/>
              <w:t>debug in QAS.</w:t>
            </w:r>
          </w:p>
        </w:tc>
      </w:tr>
      <w:tr w:rsidR="009F5679" w14:paraId="1E754587" w14:textId="77777777">
        <w:tblPrEx>
          <w:tblCellMar>
            <w:top w:w="0" w:type="dxa"/>
            <w:left w:w="0" w:type="dxa"/>
            <w:bottom w:w="0" w:type="dxa"/>
            <w:right w:w="0" w:type="dxa"/>
          </w:tblCellMar>
        </w:tblPrEx>
        <w:tc>
          <w:tcPr>
            <w:tcW w:w="1000" w:type="dxa"/>
            <w:shd w:val="clear" w:color="auto" w:fill="F4F7FB"/>
          </w:tcPr>
          <w:p w14:paraId="74EB17F8" w14:textId="77777777" w:rsidR="009F5679" w:rsidRDefault="00E3729A">
            <w:r>
              <w:lastRenderedPageBreak/>
              <w:t>AD-010</w:t>
            </w:r>
          </w:p>
        </w:tc>
        <w:tc>
          <w:tcPr>
            <w:tcW w:w="1800" w:type="dxa"/>
            <w:shd w:val="clear" w:color="auto" w:fill="F4F7FB"/>
          </w:tcPr>
          <w:p w14:paraId="7A036FB7" w14:textId="77777777" w:rsidR="009F5679" w:rsidRDefault="00E3729A">
            <w:r>
              <w:t>Configuration and Secrets</w:t>
            </w:r>
          </w:p>
        </w:tc>
        <w:tc>
          <w:tcPr>
            <w:tcW w:w="3100" w:type="dxa"/>
            <w:shd w:val="clear" w:color="auto" w:fill="F4F7FB"/>
          </w:tcPr>
          <w:p w14:paraId="70E1AB99" w14:textId="77777777" w:rsidR="009F5679" w:rsidRDefault="00E3729A">
            <w:r>
              <w:t>DB-first configuration, environment/Key Vault for secrets, YAML only as transition/dev fallback.</w:t>
            </w:r>
          </w:p>
        </w:tc>
        <w:tc>
          <w:tcPr>
            <w:tcW w:w="3500" w:type="dxa"/>
            <w:shd w:val="clear" w:color="auto" w:fill="F4F7FB"/>
          </w:tcPr>
          <w:p w14:paraId="1C8110FC" w14:textId="77777777" w:rsidR="009F5679" w:rsidRDefault="00E3729A">
            <w:r>
              <w:t>This makes tenant changes auditable and reduces the risk of secrets or tenant rules being buried in code.</w:t>
            </w:r>
          </w:p>
        </w:tc>
      </w:tr>
    </w:tbl>
    <w:p w14:paraId="13F90571" w14:textId="77777777" w:rsidR="009F5679" w:rsidRDefault="009F5679"/>
    <w:p w14:paraId="535278C5" w14:textId="77777777" w:rsidR="009F5679" w:rsidRDefault="00E3729A">
      <w:pPr>
        <w:pStyle w:val="Heading2"/>
      </w:pPr>
      <w:r>
        <w:t>Runtime and Support Model</w:t>
      </w:r>
    </w:p>
    <w:p w14:paraId="1DF00AAA" w14:textId="77777777" w:rsidR="009F5679" w:rsidRDefault="00E3729A">
      <w:proofErr w:type="gramStart"/>
      <w:r>
        <w:t>This visual separates</w:t>
      </w:r>
      <w:proofErr w:type="gramEnd"/>
      <w:r>
        <w:t xml:space="preserve"> runtime, traceability, support and governance. It reinforces the principle that support tooling is part of </w:t>
      </w:r>
      <w:proofErr w:type="gramStart"/>
      <w:r>
        <w:t>the architecture</w:t>
      </w:r>
      <w:proofErr w:type="gramEnd"/>
      <w:r>
        <w:t>, not a later add-on.</w:t>
      </w:r>
    </w:p>
    <w:p w14:paraId="1CD5E138" w14:textId="77777777" w:rsidR="009F5679" w:rsidRDefault="00E3729A">
      <w:pPr>
        <w:jc w:val="center"/>
      </w:pPr>
      <w:r>
        <w:rPr>
          <w:noProof/>
        </w:rPr>
        <w:drawing>
          <wp:inline distT="0" distB="0" distL="0" distR="0" wp14:anchorId="42C0A7A8" wp14:editId="73ECC2CD">
            <wp:extent cx="5943600" cy="3467100"/>
            <wp:effectExtent l="0" t="0" r="0" b="0"/>
            <wp:docPr id="32" name="runtime_support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untime_support_model.png"/>
                    <pic:cNvPicPr/>
                  </pic:nvPicPr>
                  <pic:blipFill>
                    <a:blip r:embed="rId8"/>
                    <a:stretch>
                      <a:fillRect/>
                    </a:stretch>
                  </pic:blipFill>
                  <pic:spPr>
                    <a:xfrm>
                      <a:off x="0" y="0"/>
                      <a:ext cx="5943600" cy="3467100"/>
                    </a:xfrm>
                    <a:prstGeom prst="rect">
                      <a:avLst/>
                    </a:prstGeom>
                  </pic:spPr>
                </pic:pic>
              </a:graphicData>
            </a:graphic>
          </wp:inline>
        </w:drawing>
      </w:r>
    </w:p>
    <w:p w14:paraId="542DE36E" w14:textId="77777777" w:rsidR="009F5679" w:rsidRDefault="00E3729A">
      <w:pPr>
        <w:pStyle w:val="Caption"/>
      </w:pPr>
      <w:r>
        <w:t>Runtime and support model for automated Flow V3 operations.</w:t>
      </w:r>
    </w:p>
    <w:p w14:paraId="7F7AD4BD" w14:textId="77777777" w:rsidR="009F5679" w:rsidRDefault="00E3729A">
      <w:pPr>
        <w:pStyle w:val="Heading1"/>
      </w:pPr>
      <w:r>
        <w:t>6. Maintainability and Commercial Rationale</w:t>
      </w:r>
    </w:p>
    <w:p w14:paraId="26405870" w14:textId="77777777" w:rsidR="009F5679" w:rsidRDefault="00E3729A">
      <w:r>
        <w:t>The recommended approach is commercially sensible because it reuses proven delivery patterns, keeps the runtime small, and avoids paying the complexity cost of frameworks or services that are not yet required.</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3200"/>
        <w:gridCol w:w="6200"/>
      </w:tblGrid>
      <w:tr w:rsidR="009F5679" w14:paraId="12B52A2D" w14:textId="77777777">
        <w:tblPrEx>
          <w:tblCellMar>
            <w:top w:w="0" w:type="dxa"/>
            <w:left w:w="0" w:type="dxa"/>
            <w:bottom w:w="0" w:type="dxa"/>
            <w:right w:w="0" w:type="dxa"/>
          </w:tblCellMar>
        </w:tblPrEx>
        <w:tc>
          <w:tcPr>
            <w:tcW w:w="3200" w:type="dxa"/>
            <w:shd w:val="clear" w:color="auto" w:fill="1F4E79"/>
          </w:tcPr>
          <w:p w14:paraId="0D8D8B3F" w14:textId="77777777" w:rsidR="009F5679" w:rsidRDefault="00E3729A">
            <w:r>
              <w:rPr>
                <w:b/>
                <w:color w:val="FFFFFF"/>
              </w:rPr>
              <w:t>Decision</w:t>
            </w:r>
          </w:p>
        </w:tc>
        <w:tc>
          <w:tcPr>
            <w:tcW w:w="6200" w:type="dxa"/>
            <w:shd w:val="clear" w:color="auto" w:fill="1F4E79"/>
          </w:tcPr>
          <w:p w14:paraId="0A23991A" w14:textId="77777777" w:rsidR="009F5679" w:rsidRDefault="00E3729A">
            <w:r>
              <w:rPr>
                <w:b/>
                <w:color w:val="FFFFFF"/>
              </w:rPr>
              <w:t>Cost / Maintenance Benefit</w:t>
            </w:r>
          </w:p>
        </w:tc>
      </w:tr>
      <w:tr w:rsidR="009F5679" w14:paraId="0433D713" w14:textId="77777777">
        <w:tblPrEx>
          <w:tblCellMar>
            <w:top w:w="0" w:type="dxa"/>
            <w:left w:w="0" w:type="dxa"/>
            <w:bottom w:w="0" w:type="dxa"/>
            <w:right w:w="0" w:type="dxa"/>
          </w:tblCellMar>
        </w:tblPrEx>
        <w:tc>
          <w:tcPr>
            <w:tcW w:w="3200" w:type="dxa"/>
            <w:shd w:val="clear" w:color="auto" w:fill="FFFFFF"/>
          </w:tcPr>
          <w:p w14:paraId="4B1FCEDF" w14:textId="77777777" w:rsidR="009F5679" w:rsidRDefault="00E3729A">
            <w:r>
              <w:t xml:space="preserve">Flask over </w:t>
            </w:r>
            <w:proofErr w:type="spellStart"/>
            <w:r>
              <w:t>FastAPI</w:t>
            </w:r>
            <w:proofErr w:type="spellEnd"/>
            <w:r>
              <w:t xml:space="preserve"> for phase 1</w:t>
            </w:r>
          </w:p>
        </w:tc>
        <w:tc>
          <w:tcPr>
            <w:tcW w:w="6200" w:type="dxa"/>
            <w:shd w:val="clear" w:color="auto" w:fill="FFFFFF"/>
          </w:tcPr>
          <w:p w14:paraId="1E5028A4" w14:textId="77777777" w:rsidR="009F5679" w:rsidRDefault="00E3729A">
            <w:r>
              <w:t>Fewer moving parts, direct reuse of V2 patterns, simpler onboarding and easier support for server-rendered workflows.</w:t>
            </w:r>
          </w:p>
        </w:tc>
      </w:tr>
      <w:tr w:rsidR="009F5679" w14:paraId="1662BC93" w14:textId="77777777">
        <w:tblPrEx>
          <w:tblCellMar>
            <w:top w:w="0" w:type="dxa"/>
            <w:left w:w="0" w:type="dxa"/>
            <w:bottom w:w="0" w:type="dxa"/>
            <w:right w:w="0" w:type="dxa"/>
          </w:tblCellMar>
        </w:tblPrEx>
        <w:tc>
          <w:tcPr>
            <w:tcW w:w="3200" w:type="dxa"/>
            <w:shd w:val="clear" w:color="auto" w:fill="F4F7FB"/>
          </w:tcPr>
          <w:p w14:paraId="53CEAFEB" w14:textId="77777777" w:rsidR="009F5679" w:rsidRDefault="00E3729A">
            <w:r>
              <w:t xml:space="preserve">Native HTML/CSS/JS </w:t>
            </w:r>
            <w:proofErr w:type="gramStart"/>
            <w:r>
              <w:t>over React</w:t>
            </w:r>
            <w:proofErr w:type="gramEnd"/>
            <w:r>
              <w:t>/Angular</w:t>
            </w:r>
          </w:p>
        </w:tc>
        <w:tc>
          <w:tcPr>
            <w:tcW w:w="6200" w:type="dxa"/>
            <w:shd w:val="clear" w:color="auto" w:fill="F4F7FB"/>
          </w:tcPr>
          <w:p w14:paraId="3B3FB72B" w14:textId="77777777" w:rsidR="009F5679" w:rsidRDefault="00E3729A">
            <w:r>
              <w:t>No Node build pipeline required for the core portal, fewer dependencies, less upgrade risk and faster changes for operational screens.</w:t>
            </w:r>
          </w:p>
        </w:tc>
      </w:tr>
      <w:tr w:rsidR="009F5679" w14:paraId="590FF123" w14:textId="77777777">
        <w:tblPrEx>
          <w:tblCellMar>
            <w:top w:w="0" w:type="dxa"/>
            <w:left w:w="0" w:type="dxa"/>
            <w:bottom w:w="0" w:type="dxa"/>
            <w:right w:w="0" w:type="dxa"/>
          </w:tblCellMar>
        </w:tblPrEx>
        <w:tc>
          <w:tcPr>
            <w:tcW w:w="3200" w:type="dxa"/>
            <w:shd w:val="clear" w:color="auto" w:fill="FFFFFF"/>
          </w:tcPr>
          <w:p w14:paraId="64E8FF9C" w14:textId="77777777" w:rsidR="009F5679" w:rsidRDefault="00E3729A">
            <w:r>
              <w:t>Azure SQL schemas by responsibility</w:t>
            </w:r>
          </w:p>
        </w:tc>
        <w:tc>
          <w:tcPr>
            <w:tcW w:w="6200" w:type="dxa"/>
            <w:shd w:val="clear" w:color="auto" w:fill="FFFFFF"/>
          </w:tcPr>
          <w:p w14:paraId="59A2E3F4" w14:textId="77777777" w:rsidR="009F5679" w:rsidRDefault="00E3729A">
            <w:r>
              <w:t>Clear ownership of configuration, execution trace, inbound evidence, working data and official API mirrors.</w:t>
            </w:r>
          </w:p>
        </w:tc>
      </w:tr>
      <w:tr w:rsidR="009F5679" w14:paraId="49533561" w14:textId="77777777">
        <w:tblPrEx>
          <w:tblCellMar>
            <w:top w:w="0" w:type="dxa"/>
            <w:left w:w="0" w:type="dxa"/>
            <w:bottom w:w="0" w:type="dxa"/>
            <w:right w:w="0" w:type="dxa"/>
          </w:tblCellMar>
        </w:tblPrEx>
        <w:tc>
          <w:tcPr>
            <w:tcW w:w="3200" w:type="dxa"/>
            <w:shd w:val="clear" w:color="auto" w:fill="F4F7FB"/>
          </w:tcPr>
          <w:p w14:paraId="53A2C253" w14:textId="77777777" w:rsidR="009F5679" w:rsidRDefault="00E3729A">
            <w:r>
              <w:lastRenderedPageBreak/>
              <w:t>Support portal from the start</w:t>
            </w:r>
          </w:p>
        </w:tc>
        <w:tc>
          <w:tcPr>
            <w:tcW w:w="6200" w:type="dxa"/>
            <w:shd w:val="clear" w:color="auto" w:fill="F4F7FB"/>
          </w:tcPr>
          <w:p w14:paraId="2605D899" w14:textId="77777777" w:rsidR="009F5679" w:rsidRDefault="00E3729A">
            <w:r>
              <w:t>Reduces incident handling time because failures can be traced without manually reading logs, folders and database rows separately.</w:t>
            </w:r>
          </w:p>
        </w:tc>
      </w:tr>
      <w:tr w:rsidR="009F5679" w14:paraId="6A6BDD89" w14:textId="77777777">
        <w:tblPrEx>
          <w:tblCellMar>
            <w:top w:w="0" w:type="dxa"/>
            <w:left w:w="0" w:type="dxa"/>
            <w:bottom w:w="0" w:type="dxa"/>
            <w:right w:w="0" w:type="dxa"/>
          </w:tblCellMar>
        </w:tblPrEx>
        <w:tc>
          <w:tcPr>
            <w:tcW w:w="3200" w:type="dxa"/>
            <w:shd w:val="clear" w:color="auto" w:fill="FFFFFF"/>
          </w:tcPr>
          <w:p w14:paraId="1833B53D" w14:textId="77777777" w:rsidR="009F5679" w:rsidRDefault="00E3729A">
            <w:proofErr w:type="gramStart"/>
            <w:r>
              <w:t>Operational</w:t>
            </w:r>
            <w:proofErr w:type="gramEnd"/>
            <w:r>
              <w:t xml:space="preserve"> analytics first</w:t>
            </w:r>
          </w:p>
        </w:tc>
        <w:tc>
          <w:tcPr>
            <w:tcW w:w="6200" w:type="dxa"/>
            <w:shd w:val="clear" w:color="auto" w:fill="FFFFFF"/>
          </w:tcPr>
          <w:p w14:paraId="12BCA753" w14:textId="77777777" w:rsidR="009F5679" w:rsidRDefault="00E3729A">
            <w:r>
              <w:t>Gives immediate value to support and management while postponing BI investment until metrics are stable.</w:t>
            </w:r>
          </w:p>
        </w:tc>
      </w:tr>
      <w:tr w:rsidR="009F5679" w14:paraId="0EBB6519" w14:textId="77777777">
        <w:tblPrEx>
          <w:tblCellMar>
            <w:top w:w="0" w:type="dxa"/>
            <w:left w:w="0" w:type="dxa"/>
            <w:bottom w:w="0" w:type="dxa"/>
            <w:right w:w="0" w:type="dxa"/>
          </w:tblCellMar>
        </w:tblPrEx>
        <w:tc>
          <w:tcPr>
            <w:tcW w:w="3200" w:type="dxa"/>
            <w:shd w:val="clear" w:color="auto" w:fill="F4F7FB"/>
          </w:tcPr>
          <w:p w14:paraId="471ECE6D" w14:textId="77777777" w:rsidR="009F5679" w:rsidRDefault="00E3729A">
            <w:r>
              <w:t>DB-first tenant configuration</w:t>
            </w:r>
          </w:p>
        </w:tc>
        <w:tc>
          <w:tcPr>
            <w:tcW w:w="6200" w:type="dxa"/>
            <w:shd w:val="clear" w:color="auto" w:fill="F4F7FB"/>
          </w:tcPr>
          <w:p w14:paraId="03E1F688" w14:textId="77777777" w:rsidR="009F5679" w:rsidRDefault="00E3729A">
            <w:r>
              <w:t>New customers and route changes can be managed without code changes once the configuration model is mature.</w:t>
            </w:r>
          </w:p>
        </w:tc>
      </w:tr>
    </w:tbl>
    <w:p w14:paraId="46223192" w14:textId="77777777" w:rsidR="009F5679" w:rsidRDefault="009F5679"/>
    <w:p w14:paraId="28D47E70" w14:textId="77777777" w:rsidR="009F5679" w:rsidRDefault="00E3729A">
      <w:pPr>
        <w:pStyle w:val="Heading1"/>
      </w:pPr>
      <w:r>
        <w:t>7. Proposed Project Structure</w:t>
      </w:r>
    </w:p>
    <w:p w14:paraId="7B0364B4" w14:textId="77777777" w:rsidR="009F5679" w:rsidRDefault="00E3729A">
      <w:r>
        <w:rPr>
          <w:i/>
        </w:rPr>
        <w:t>Integration_Layer/Portal separates backend Python from frontend views and assets.</w:t>
      </w:r>
    </w:p>
    <w:p w14:paraId="4C3B3B4F" w14:textId="77777777" w:rsidR="009F5679" w:rsidRDefault="00E3729A">
      <w:r>
        <w:t>Fusion_Flow_V3_QAS/</w:t>
      </w:r>
    </w:p>
    <w:p w14:paraId="175F3186" w14:textId="77777777" w:rsidR="009F5679" w:rsidRDefault="00E3729A">
      <w:proofErr w:type="spellStart"/>
      <w:r>
        <w:t>Documentation_Layer</w:t>
      </w:r>
      <w:proofErr w:type="spellEnd"/>
      <w:r>
        <w:t>/</w:t>
      </w:r>
    </w:p>
    <w:p w14:paraId="39FBA3C4" w14:textId="77777777" w:rsidR="009F5679" w:rsidRDefault="00E3729A">
      <w:proofErr w:type="spellStart"/>
      <w:r>
        <w:t>Configuration_Layer</w:t>
      </w:r>
      <w:proofErr w:type="spellEnd"/>
      <w:r>
        <w:t>/</w:t>
      </w:r>
    </w:p>
    <w:p w14:paraId="05C677FD" w14:textId="77777777" w:rsidR="009F5679" w:rsidRDefault="00E3729A">
      <w:r>
        <w:t>SQL/</w:t>
      </w:r>
    </w:p>
    <w:p w14:paraId="29F5D9F6" w14:textId="77777777" w:rsidR="009F5679" w:rsidRDefault="00E3729A">
      <w:r>
        <w:t>migrations/</w:t>
      </w:r>
    </w:p>
    <w:p w14:paraId="57B77CEB" w14:textId="77777777" w:rsidR="009F5679" w:rsidRDefault="00E3729A">
      <w:r>
        <w:t>seeds/</w:t>
      </w:r>
    </w:p>
    <w:p w14:paraId="3540394F" w14:textId="77777777" w:rsidR="009F5679" w:rsidRDefault="00E3729A">
      <w:r>
        <w:t>Integration_Layer/</w:t>
      </w:r>
    </w:p>
    <w:p w14:paraId="7BE361CA" w14:textId="77777777" w:rsidR="009F5679" w:rsidRDefault="00E3729A">
      <w:r>
        <w:t>Portal/</w:t>
      </w:r>
    </w:p>
    <w:p w14:paraId="5D2B7745" w14:textId="77777777" w:rsidR="009F5679" w:rsidRDefault="00E3729A">
      <w:proofErr w:type="spellStart"/>
      <w:r>
        <w:t>fusion_portal</w:t>
      </w:r>
      <w:proofErr w:type="spellEnd"/>
      <w:r>
        <w:t>/         &lt;- backend: Flask Python package</w:t>
      </w:r>
    </w:p>
    <w:p w14:paraId="678B79B1" w14:textId="77777777" w:rsidR="009F5679" w:rsidRDefault="00E3729A">
      <w:r>
        <w:t>blueprints/          &lt;- route handlers per domain</w:t>
      </w:r>
    </w:p>
    <w:p w14:paraId="6CC85D28" w14:textId="77777777" w:rsidR="009F5679" w:rsidRDefault="00E3729A">
      <w:r>
        <w:t>helpers/             &lt;- shared utilities</w:t>
      </w:r>
    </w:p>
    <w:p w14:paraId="5DAAA9E9" w14:textId="77777777" w:rsidR="009F5679" w:rsidRDefault="00E3729A">
      <w:r>
        <w:t>ingestion/           &lt;- ingestion pipeline modules</w:t>
      </w:r>
    </w:p>
    <w:p w14:paraId="77453C83" w14:textId="77777777" w:rsidR="009F5679" w:rsidRDefault="00E3729A">
      <w:r>
        <w:t>services/            &lt;- business logic</w:t>
      </w:r>
    </w:p>
    <w:p w14:paraId="362F6ADF" w14:textId="77777777" w:rsidR="009F5679" w:rsidRDefault="00E3729A">
      <w:r>
        <w:t>templates/             &lt;- frontend: Jinja views (.html)</w:t>
      </w:r>
    </w:p>
    <w:p w14:paraId="5423BB76" w14:textId="77777777" w:rsidR="009F5679" w:rsidRDefault="00E3729A">
      <w:r>
        <w:t>static/                &lt;- frontend: CSS, JS, images</w:t>
      </w:r>
    </w:p>
    <w:p w14:paraId="79DB7E85" w14:textId="77777777" w:rsidR="009F5679" w:rsidRDefault="00E3729A">
      <w:proofErr w:type="spellStart"/>
      <w:r>
        <w:t>export_templates</w:t>
      </w:r>
      <w:proofErr w:type="spellEnd"/>
      <w:r>
        <w:t>/      &lt;- Excel / Word export templates</w:t>
      </w:r>
    </w:p>
    <w:p w14:paraId="7491C0A7" w14:textId="77777777" w:rsidR="009F5679" w:rsidRDefault="00E3729A">
      <w:r>
        <w:t>wsgi.py</w:t>
      </w:r>
    </w:p>
    <w:p w14:paraId="1698CF1E" w14:textId="77777777" w:rsidR="009F5679" w:rsidRDefault="00E3729A">
      <w:r>
        <w:t>FLOW_V3/                 &lt;- pipeline scripts 01-05</w:t>
      </w:r>
    </w:p>
    <w:p w14:paraId="7F4E5C87" w14:textId="77777777" w:rsidR="009F5679" w:rsidRDefault="00E3729A">
      <w:r>
        <w:t>Graph/                   &lt;- Graph email ingestion</w:t>
      </w:r>
    </w:p>
    <w:p w14:paraId="7C40B4CE" w14:textId="77777777" w:rsidR="009F5679" w:rsidRDefault="00E3729A">
      <w:r>
        <w:t>&lt;tenant&gt;/                &lt;- per-tenant file workspace</w:t>
      </w:r>
    </w:p>
    <w:p w14:paraId="59653626" w14:textId="77777777" w:rsidR="009F5679" w:rsidRDefault="00E3729A">
      <w:r>
        <w:t>Inbound/</w:t>
      </w:r>
    </w:p>
    <w:p w14:paraId="1ADB3EA0" w14:textId="77777777" w:rsidR="009F5679" w:rsidRDefault="00E3729A">
      <w:r>
        <w:t>Process/</w:t>
      </w:r>
    </w:p>
    <w:p w14:paraId="67FE4C66" w14:textId="77777777" w:rsidR="009F5679" w:rsidRDefault="00E3729A">
      <w:proofErr w:type="spellStart"/>
      <w:r>
        <w:t>Infrastructure_Layer</w:t>
      </w:r>
      <w:proofErr w:type="spellEnd"/>
      <w:r>
        <w:t>/</w:t>
      </w:r>
    </w:p>
    <w:p w14:paraId="21C5E1D0" w14:textId="77777777" w:rsidR="009F5679" w:rsidRDefault="00E3729A">
      <w:r>
        <w:lastRenderedPageBreak/>
        <w:t>Azure/</w:t>
      </w:r>
    </w:p>
    <w:p w14:paraId="3F74AC99" w14:textId="77777777" w:rsidR="009F5679" w:rsidRDefault="00E3729A">
      <w:r>
        <w:t>Render/</w:t>
      </w:r>
    </w:p>
    <w:p w14:paraId="7A0E40B8" w14:textId="77777777" w:rsidR="009F5679" w:rsidRDefault="00E3729A">
      <w:r>
        <w:t>Docker/</w:t>
      </w:r>
    </w:p>
    <w:p w14:paraId="0FD5DC91" w14:textId="77777777" w:rsidR="009F5679" w:rsidRDefault="00E3729A">
      <w:r>
        <w:t>scripts/</w:t>
      </w:r>
    </w:p>
    <w:p w14:paraId="1A7B54C2" w14:textId="77777777" w:rsidR="009F5679" w:rsidRDefault="00E3729A">
      <w:r>
        <w:t>tests/</w:t>
      </w:r>
    </w:p>
    <w:p w14:paraId="086F6528" w14:textId="77777777" w:rsidR="009F5679" w:rsidRDefault="00E3729A">
      <w:pPr>
        <w:pStyle w:val="Heading1"/>
      </w:pPr>
      <w:r>
        <w:t>8. Open Decisions for Team Agreement</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4200"/>
        <w:gridCol w:w="3600"/>
        <w:gridCol w:w="1600"/>
      </w:tblGrid>
      <w:tr w:rsidR="009F5679" w14:paraId="48823DEC" w14:textId="77777777">
        <w:tblPrEx>
          <w:tblCellMar>
            <w:top w:w="0" w:type="dxa"/>
            <w:left w:w="0" w:type="dxa"/>
            <w:bottom w:w="0" w:type="dxa"/>
            <w:right w:w="0" w:type="dxa"/>
          </w:tblCellMar>
        </w:tblPrEx>
        <w:tc>
          <w:tcPr>
            <w:tcW w:w="4200" w:type="dxa"/>
            <w:shd w:val="clear" w:color="auto" w:fill="1F4E79"/>
          </w:tcPr>
          <w:p w14:paraId="3488585E" w14:textId="77777777" w:rsidR="009F5679" w:rsidRDefault="00E3729A">
            <w:r>
              <w:rPr>
                <w:b/>
                <w:color w:val="FFFFFF"/>
              </w:rPr>
              <w:t>Question</w:t>
            </w:r>
          </w:p>
        </w:tc>
        <w:tc>
          <w:tcPr>
            <w:tcW w:w="3600" w:type="dxa"/>
            <w:shd w:val="clear" w:color="auto" w:fill="1F4E79"/>
          </w:tcPr>
          <w:p w14:paraId="6DB2E7C3" w14:textId="77777777" w:rsidR="009F5679" w:rsidRDefault="00E3729A">
            <w:r>
              <w:rPr>
                <w:b/>
                <w:color w:val="FFFFFF"/>
              </w:rPr>
              <w:t>Proposed Answer</w:t>
            </w:r>
          </w:p>
        </w:tc>
        <w:tc>
          <w:tcPr>
            <w:tcW w:w="1600" w:type="dxa"/>
            <w:shd w:val="clear" w:color="auto" w:fill="1F4E79"/>
          </w:tcPr>
          <w:p w14:paraId="037206F9" w14:textId="77777777" w:rsidR="009F5679" w:rsidRDefault="00E3729A">
            <w:r>
              <w:rPr>
                <w:b/>
                <w:color w:val="FFFFFF"/>
              </w:rPr>
              <w:t>Team Decision</w:t>
            </w:r>
          </w:p>
        </w:tc>
      </w:tr>
      <w:tr w:rsidR="009F5679" w14:paraId="769CD6DB" w14:textId="77777777">
        <w:tblPrEx>
          <w:tblCellMar>
            <w:top w:w="0" w:type="dxa"/>
            <w:left w:w="0" w:type="dxa"/>
            <w:bottom w:w="0" w:type="dxa"/>
            <w:right w:w="0" w:type="dxa"/>
          </w:tblCellMar>
        </w:tblPrEx>
        <w:tc>
          <w:tcPr>
            <w:tcW w:w="4200" w:type="dxa"/>
            <w:shd w:val="clear" w:color="auto" w:fill="FFFFFF"/>
          </w:tcPr>
          <w:p w14:paraId="478E5ACE" w14:textId="77777777" w:rsidR="009F5679" w:rsidRDefault="00E3729A">
            <w:r>
              <w:t>Should Azure be the target infrastructure?</w:t>
            </w:r>
          </w:p>
        </w:tc>
        <w:tc>
          <w:tcPr>
            <w:tcW w:w="3600" w:type="dxa"/>
            <w:shd w:val="clear" w:color="auto" w:fill="FFFFFF"/>
          </w:tcPr>
          <w:p w14:paraId="3B3E6308" w14:textId="77777777" w:rsidR="009F5679" w:rsidRDefault="00E3729A">
            <w:r>
              <w:t>Yes. Render remains optional for QAS/demo.</w:t>
            </w:r>
          </w:p>
        </w:tc>
        <w:tc>
          <w:tcPr>
            <w:tcW w:w="1600" w:type="dxa"/>
            <w:shd w:val="clear" w:color="auto" w:fill="FFFFFF"/>
          </w:tcPr>
          <w:p w14:paraId="636A0DB5" w14:textId="77777777" w:rsidR="009F5679" w:rsidRDefault="00E3729A">
            <w:r>
              <w:t>Pending</w:t>
            </w:r>
          </w:p>
        </w:tc>
      </w:tr>
      <w:tr w:rsidR="009F5679" w14:paraId="45C4270A" w14:textId="77777777">
        <w:tblPrEx>
          <w:tblCellMar>
            <w:top w:w="0" w:type="dxa"/>
            <w:left w:w="0" w:type="dxa"/>
            <w:bottom w:w="0" w:type="dxa"/>
            <w:right w:w="0" w:type="dxa"/>
          </w:tblCellMar>
        </w:tblPrEx>
        <w:tc>
          <w:tcPr>
            <w:tcW w:w="4200" w:type="dxa"/>
            <w:shd w:val="clear" w:color="auto" w:fill="F4F7FB"/>
          </w:tcPr>
          <w:p w14:paraId="79EB844B" w14:textId="77777777" w:rsidR="009F5679" w:rsidRDefault="00E3729A">
            <w:r>
              <w:t>Should the backend remain Flask?</w:t>
            </w:r>
          </w:p>
        </w:tc>
        <w:tc>
          <w:tcPr>
            <w:tcW w:w="3600" w:type="dxa"/>
            <w:shd w:val="clear" w:color="auto" w:fill="F4F7FB"/>
          </w:tcPr>
          <w:p w14:paraId="5B3F3172" w14:textId="77777777" w:rsidR="009F5679" w:rsidRDefault="00E3729A">
            <w:r>
              <w:t xml:space="preserve">Yes, unless a future public API surface requires </w:t>
            </w:r>
            <w:proofErr w:type="spellStart"/>
            <w:r>
              <w:t>FastAPI</w:t>
            </w:r>
            <w:proofErr w:type="spellEnd"/>
            <w:r>
              <w:t>.</w:t>
            </w:r>
          </w:p>
        </w:tc>
        <w:tc>
          <w:tcPr>
            <w:tcW w:w="1600" w:type="dxa"/>
            <w:shd w:val="clear" w:color="auto" w:fill="F4F7FB"/>
          </w:tcPr>
          <w:p w14:paraId="2258DA87" w14:textId="77777777" w:rsidR="009F5679" w:rsidRDefault="00E3729A">
            <w:r>
              <w:t>Pending</w:t>
            </w:r>
          </w:p>
        </w:tc>
      </w:tr>
      <w:tr w:rsidR="009F5679" w14:paraId="0A518F63" w14:textId="77777777">
        <w:tblPrEx>
          <w:tblCellMar>
            <w:top w:w="0" w:type="dxa"/>
            <w:left w:w="0" w:type="dxa"/>
            <w:bottom w:w="0" w:type="dxa"/>
            <w:right w:w="0" w:type="dxa"/>
          </w:tblCellMar>
        </w:tblPrEx>
        <w:tc>
          <w:tcPr>
            <w:tcW w:w="4200" w:type="dxa"/>
            <w:shd w:val="clear" w:color="auto" w:fill="FFFFFF"/>
          </w:tcPr>
          <w:p w14:paraId="111A74BD" w14:textId="77777777" w:rsidR="009F5679" w:rsidRDefault="00E3729A">
            <w:r>
              <w:t>Should the frontend remain native HTML/CSS/JS for now?</w:t>
            </w:r>
          </w:p>
        </w:tc>
        <w:tc>
          <w:tcPr>
            <w:tcW w:w="3600" w:type="dxa"/>
            <w:shd w:val="clear" w:color="auto" w:fill="FFFFFF"/>
          </w:tcPr>
          <w:p w14:paraId="3EFD42CA" w14:textId="77777777" w:rsidR="009F5679" w:rsidRDefault="00E3729A">
            <w:r>
              <w:t>Yes. React/Angular can be reconsidered if the UI becomes SPA-heavy.</w:t>
            </w:r>
          </w:p>
        </w:tc>
        <w:tc>
          <w:tcPr>
            <w:tcW w:w="1600" w:type="dxa"/>
            <w:shd w:val="clear" w:color="auto" w:fill="FFFFFF"/>
          </w:tcPr>
          <w:p w14:paraId="14F807D7" w14:textId="77777777" w:rsidR="009F5679" w:rsidRDefault="00E3729A">
            <w:r>
              <w:t>Pending</w:t>
            </w:r>
          </w:p>
        </w:tc>
      </w:tr>
      <w:tr w:rsidR="009F5679" w14:paraId="7AA2887A" w14:textId="77777777">
        <w:tblPrEx>
          <w:tblCellMar>
            <w:top w:w="0" w:type="dxa"/>
            <w:left w:w="0" w:type="dxa"/>
            <w:bottom w:w="0" w:type="dxa"/>
            <w:right w:w="0" w:type="dxa"/>
          </w:tblCellMar>
        </w:tblPrEx>
        <w:tc>
          <w:tcPr>
            <w:tcW w:w="4200" w:type="dxa"/>
            <w:shd w:val="clear" w:color="auto" w:fill="F4F7FB"/>
          </w:tcPr>
          <w:p w14:paraId="75F678FE" w14:textId="77777777" w:rsidR="009F5679" w:rsidRDefault="00E3729A">
            <w:r>
              <w:t>Should a support portal be included in phase 1?</w:t>
            </w:r>
          </w:p>
        </w:tc>
        <w:tc>
          <w:tcPr>
            <w:tcW w:w="3600" w:type="dxa"/>
            <w:shd w:val="clear" w:color="auto" w:fill="F4F7FB"/>
          </w:tcPr>
          <w:p w14:paraId="0B8C92AD" w14:textId="77777777" w:rsidR="009F5679" w:rsidRDefault="00E3729A">
            <w:r>
              <w:t>Yes. It is essential for maintainability and operational confidence.</w:t>
            </w:r>
          </w:p>
        </w:tc>
        <w:tc>
          <w:tcPr>
            <w:tcW w:w="1600" w:type="dxa"/>
            <w:shd w:val="clear" w:color="auto" w:fill="F4F7FB"/>
          </w:tcPr>
          <w:p w14:paraId="2AE3A7A1" w14:textId="77777777" w:rsidR="009F5679" w:rsidRDefault="00E3729A">
            <w:r>
              <w:t>Pending</w:t>
            </w:r>
          </w:p>
        </w:tc>
      </w:tr>
      <w:tr w:rsidR="009F5679" w14:paraId="5A84991A" w14:textId="77777777">
        <w:tblPrEx>
          <w:tblCellMar>
            <w:top w:w="0" w:type="dxa"/>
            <w:left w:w="0" w:type="dxa"/>
            <w:bottom w:w="0" w:type="dxa"/>
            <w:right w:w="0" w:type="dxa"/>
          </w:tblCellMar>
        </w:tblPrEx>
        <w:tc>
          <w:tcPr>
            <w:tcW w:w="4200" w:type="dxa"/>
            <w:shd w:val="clear" w:color="auto" w:fill="FFFFFF"/>
          </w:tcPr>
          <w:p w14:paraId="485AAAFA" w14:textId="77777777" w:rsidR="009F5679" w:rsidRDefault="00E3729A">
            <w:r>
              <w:t>Should analytics be included?</w:t>
            </w:r>
          </w:p>
        </w:tc>
        <w:tc>
          <w:tcPr>
            <w:tcW w:w="3600" w:type="dxa"/>
            <w:shd w:val="clear" w:color="auto" w:fill="FFFFFF"/>
          </w:tcPr>
          <w:p w14:paraId="595E1FFF" w14:textId="77777777" w:rsidR="009F5679" w:rsidRDefault="00E3729A">
            <w:r>
              <w:t>Yes, but operational analytics only in phase 1.</w:t>
            </w:r>
          </w:p>
        </w:tc>
        <w:tc>
          <w:tcPr>
            <w:tcW w:w="1600" w:type="dxa"/>
            <w:shd w:val="clear" w:color="auto" w:fill="FFFFFF"/>
          </w:tcPr>
          <w:p w14:paraId="0AFE580D" w14:textId="77777777" w:rsidR="009F5679" w:rsidRDefault="00E3729A">
            <w:r>
              <w:t>Pending</w:t>
            </w:r>
          </w:p>
        </w:tc>
      </w:tr>
      <w:tr w:rsidR="009F5679" w14:paraId="4766C63E" w14:textId="77777777">
        <w:tblPrEx>
          <w:tblCellMar>
            <w:top w:w="0" w:type="dxa"/>
            <w:left w:w="0" w:type="dxa"/>
            <w:bottom w:w="0" w:type="dxa"/>
            <w:right w:w="0" w:type="dxa"/>
          </w:tblCellMar>
        </w:tblPrEx>
        <w:tc>
          <w:tcPr>
            <w:tcW w:w="4200" w:type="dxa"/>
            <w:shd w:val="clear" w:color="auto" w:fill="F4F7FB"/>
          </w:tcPr>
          <w:p w14:paraId="2BF264FF" w14:textId="77777777" w:rsidR="009F5679" w:rsidRDefault="00E3729A">
            <w:r>
              <w:t>Should tenant configuration move DB-first?</w:t>
            </w:r>
          </w:p>
        </w:tc>
        <w:tc>
          <w:tcPr>
            <w:tcW w:w="3600" w:type="dxa"/>
            <w:shd w:val="clear" w:color="auto" w:fill="F4F7FB"/>
          </w:tcPr>
          <w:p w14:paraId="0D19495B" w14:textId="77777777" w:rsidR="009F5679" w:rsidRDefault="00E3729A">
            <w:r>
              <w:t>Yes, with YAML retained only as a transition/dev fallback.</w:t>
            </w:r>
          </w:p>
        </w:tc>
        <w:tc>
          <w:tcPr>
            <w:tcW w:w="1600" w:type="dxa"/>
            <w:shd w:val="clear" w:color="auto" w:fill="F4F7FB"/>
          </w:tcPr>
          <w:p w14:paraId="1E1FDCCF" w14:textId="77777777" w:rsidR="009F5679" w:rsidRDefault="00E3729A">
            <w:r>
              <w:t>Pending</w:t>
            </w:r>
          </w:p>
        </w:tc>
      </w:tr>
    </w:tbl>
    <w:p w14:paraId="4CD01895" w14:textId="77777777" w:rsidR="009F5679" w:rsidRDefault="009F5679"/>
    <w:p w14:paraId="664BE0B9" w14:textId="77777777" w:rsidR="009F5679" w:rsidRDefault="00E3729A">
      <w:pPr>
        <w:pStyle w:val="Heading1"/>
      </w:pPr>
      <w:r>
        <w:t>9. Recommended Next Steps</w:t>
      </w:r>
    </w:p>
    <w:p w14:paraId="07F8F5D2" w14:textId="77777777" w:rsidR="009F5679" w:rsidRDefault="00E3729A">
      <w:r>
        <w:t>- Confirm or challenge each open decision in the team discussion.</w:t>
      </w:r>
    </w:p>
    <w:p w14:paraId="74FB403E" w14:textId="77777777" w:rsidR="009F5679" w:rsidRDefault="00E3729A">
      <w:r>
        <w:t xml:space="preserve">- Rename Integration_Layer/App to Integration_Layer/Portal and </w:t>
      </w:r>
      <w:proofErr w:type="spellStart"/>
      <w:r>
        <w:t>reorganise</w:t>
      </w:r>
      <w:proofErr w:type="spellEnd"/>
      <w:r>
        <w:t xml:space="preserve"> into </w:t>
      </w:r>
      <w:proofErr w:type="spellStart"/>
      <w:r>
        <w:t>fusion_portal</w:t>
      </w:r>
      <w:proofErr w:type="spellEnd"/>
      <w:r>
        <w:t>/ (backend) + templates/ + static/ (frontend).</w:t>
      </w:r>
    </w:p>
    <w:p w14:paraId="65DC8B40" w14:textId="77777777" w:rsidR="009F5679" w:rsidRDefault="00E3729A">
      <w:r>
        <w:t>- Move Jinja HTML views into Portal/templates/ and static assets into Portal/static/.</w:t>
      </w:r>
    </w:p>
    <w:p w14:paraId="58D6F27C" w14:textId="77777777" w:rsidR="009F5679" w:rsidRDefault="00E3729A">
      <w:r>
        <w:t>- Move Excel/Word export templates from app/static/templates/ into Portal/</w:t>
      </w:r>
      <w:proofErr w:type="spellStart"/>
      <w:r>
        <w:t>export_templates</w:t>
      </w:r>
      <w:proofErr w:type="spellEnd"/>
      <w:r>
        <w:t>/.</w:t>
      </w:r>
    </w:p>
    <w:p w14:paraId="49216FE3" w14:textId="77777777" w:rsidR="009F5679" w:rsidRDefault="00E3729A">
      <w:r>
        <w:t xml:space="preserve">- Create the </w:t>
      </w:r>
      <w:proofErr w:type="spellStart"/>
      <w:r>
        <w:t>Infrastructure_Layer</w:t>
      </w:r>
      <w:proofErr w:type="spellEnd"/>
      <w:r>
        <w:t xml:space="preserve"> folder with Azure, Render and Docker placeholders.</w:t>
      </w:r>
    </w:p>
    <w:p w14:paraId="22CE4670" w14:textId="77777777" w:rsidR="009F5679" w:rsidRDefault="00E3729A">
      <w:r>
        <w:t>- Split requirements into base, portal, jobs and optional AI/document-intelligence files.</w:t>
      </w:r>
    </w:p>
    <w:p w14:paraId="5E70EA89" w14:textId="77777777" w:rsidR="009F5679" w:rsidRDefault="00E3729A">
      <w:r>
        <w:t>- Keep FLOW_V3 scripts numbered 01-05 and FLOW_V3/</w:t>
      </w:r>
      <w:proofErr w:type="spellStart"/>
      <w:r>
        <w:t>Run_History</w:t>
      </w:r>
      <w:proofErr w:type="spellEnd"/>
      <w:r>
        <w:t xml:space="preserve"> as-is.</w:t>
      </w:r>
    </w:p>
    <w:p w14:paraId="2CE27E49" w14:textId="77777777" w:rsidR="009F5679" w:rsidRDefault="00E3729A">
      <w:r>
        <w:t>- Add decision records when the team confirms or changes the proposed stack.</w:t>
      </w:r>
    </w:p>
    <w:p w14:paraId="08137B4F" w14:textId="77777777" w:rsidR="009F5679" w:rsidRDefault="00E3729A">
      <w:pPr>
        <w:pStyle w:val="Heading1"/>
      </w:pPr>
      <w:r>
        <w:t>10. Conclusion</w:t>
      </w:r>
    </w:p>
    <w:p w14:paraId="6E6E2F6F" w14:textId="77777777" w:rsidR="009F5679" w:rsidRDefault="00E3729A">
      <w:r>
        <w:t xml:space="preserve">The recommended stack </w:t>
      </w:r>
      <w:proofErr w:type="spellStart"/>
      <w:r>
        <w:t>prioritises</w:t>
      </w:r>
      <w:proofErr w:type="spellEnd"/>
      <w:r>
        <w:t xml:space="preserve"> delivery speed, operational visibility and maintainability. It keeps V3 close to the proven V2 production shape while allowing the team to evolve toward Azure-native </w:t>
      </w:r>
      <w:r>
        <w:lastRenderedPageBreak/>
        <w:t>hosting, DB-first configuration and stronger support tooling. The main decision for the team is whether this conservative, support-first architecture is the right base for starting implementation.</w:t>
      </w:r>
    </w:p>
    <w:sectPr w:rsidR="009F5679">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F5679"/>
    <w:rsid w:val="00322DDC"/>
    <w:rsid w:val="009D129F"/>
    <w:rsid w:val="009F5679"/>
    <w:rsid w:val="00E37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6026"/>
  <w15:docId w15:val="{D35D39AE-FB30-4B63-987A-BC67DB2DF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color w:val="1F2933"/>
        <w:sz w:val="22"/>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60" w:after="120"/>
      <w:outlineLvl w:val="0"/>
    </w:pPr>
    <w:rPr>
      <w:b/>
      <w:color w:val="1F4E79"/>
      <w:sz w:val="30"/>
    </w:rPr>
  </w:style>
  <w:style w:type="paragraph" w:styleId="Heading2">
    <w:name w:val="heading 2"/>
    <w:basedOn w:val="Normal"/>
    <w:uiPriority w:val="9"/>
    <w:unhideWhenUsed/>
    <w:qFormat/>
    <w:pPr>
      <w:spacing w:before="160" w:after="80"/>
      <w:outlineLvl w:val="1"/>
    </w:pPr>
    <w:rPr>
      <w:b/>
      <w:color w:val="243B53"/>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160"/>
    </w:pPr>
    <w:rPr>
      <w:b/>
      <w:color w:val="1F4E79"/>
      <w:sz w:val="44"/>
    </w:rPr>
  </w:style>
  <w:style w:type="paragraph" w:styleId="Subtitle">
    <w:name w:val="Subtitle"/>
    <w:basedOn w:val="Normal"/>
    <w:uiPriority w:val="11"/>
    <w:qFormat/>
    <w:rPr>
      <w:color w:val="5B6778"/>
      <w:sz w:val="26"/>
    </w:rPr>
  </w:style>
  <w:style w:type="paragraph" w:styleId="Caption">
    <w:name w:val="caption"/>
    <w:basedOn w:val="Normal"/>
    <w:pPr>
      <w:jc w:val="center"/>
    </w:pPr>
    <w:rPr>
      <w:i/>
      <w:color w:val="64748B"/>
      <w:sz w:val="18"/>
    </w:rPr>
  </w:style>
  <w:style w:type="table" w:styleId="TableGrid">
    <w:name w:val="Table Grid"/>
    <w:tblPr>
      <w:tblBorders>
        <w:top w:val="single" w:sz="4" w:space="0" w:color="B8C6D9"/>
        <w:left w:val="single" w:sz="4" w:space="0" w:color="B8C6D9"/>
        <w:bottom w:val="single" w:sz="4" w:space="0" w:color="B8C6D9"/>
        <w:right w:val="single" w:sz="4" w:space="0" w:color="B8C6D9"/>
        <w:insideH w:val="single" w:sz="4" w:space="0" w:color="D7DEE8"/>
        <w:insideV w:val="single" w:sz="4" w:space="0" w:color="D7DEE8"/>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1391</Words>
  <Characters>8627</Characters>
  <Application>Microsoft Office Word</Application>
  <DocSecurity>0</DocSecurity>
  <Lines>319</Lines>
  <Paragraphs>213</Paragraphs>
  <ScaleCrop>false</ScaleCrop>
  <Company>Synovia Digital</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Details Overview</dc:title>
  <dc:subject>Fusion Flow V3 QAS architecture and stack proposal</dc:subject>
  <dc:creator>Synovia Digital Engineering</dc:creator>
  <cp:lastModifiedBy>Alvaro Molina</cp:lastModifiedBy>
  <cp:revision>2</cp:revision>
  <dcterms:created xsi:type="dcterms:W3CDTF">2026-06-25T11:26:00Z</dcterms:created>
  <dcterms:modified xsi:type="dcterms:W3CDTF">2026-06-25T11:32:00Z</dcterms:modified>
</cp:coreProperties>
</file>