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4D6EE" w14:textId="77777777" w:rsidR="00AA744C" w:rsidRDefault="005B659B">
      <w:pPr>
        <w:jc w:val="right"/>
      </w:pPr>
      <w:r>
        <w:rPr>
          <w:noProof/>
        </w:rPr>
        <w:drawing>
          <wp:inline distT="0" distB="0" distL="0" distR="0" wp14:anchorId="2D33D278" wp14:editId="381E15D8">
            <wp:extent cx="2011680" cy="1237956"/>
            <wp:effectExtent l="0" t="0" r="0" b="0"/>
            <wp:docPr id="1" name="Synovia Flo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ovia Flow Logo"/>
                    <pic:cNvPicPr/>
                  </pic:nvPicPr>
                  <pic:blipFill>
                    <a:blip r:embed="rId4"/>
                    <a:stretch>
                      <a:fillRect/>
                    </a:stretch>
                  </pic:blipFill>
                  <pic:spPr>
                    <a:xfrm>
                      <a:off x="0" y="0"/>
                      <a:ext cx="2011680" cy="1237956"/>
                    </a:xfrm>
                    <a:prstGeom prst="rect">
                      <a:avLst/>
                    </a:prstGeom>
                  </pic:spPr>
                </pic:pic>
              </a:graphicData>
            </a:graphic>
          </wp:inline>
        </w:drawing>
      </w:r>
    </w:p>
    <w:p w14:paraId="5CC61917" w14:textId="77777777" w:rsidR="00AA744C" w:rsidRDefault="005B659B">
      <w:r>
        <w:rPr>
          <w:rFonts w:ascii="Montserrat" w:hAnsi="Montserrat"/>
        </w:rPr>
        <w:t>TECHNICAL APPENDIX</w:t>
      </w:r>
    </w:p>
    <w:p w14:paraId="36BD5CC6" w14:textId="77777777" w:rsidR="00AA744C" w:rsidRDefault="005B659B">
      <w:r>
        <w:rPr>
          <w:rFonts w:ascii="Montserrat" w:hAnsi="Montserrat"/>
        </w:rPr>
        <w:t>Validation and Consolidation Requirements</w:t>
      </w:r>
    </w:p>
    <w:p w14:paraId="199CF478" w14:textId="77777777" w:rsidR="00AA744C" w:rsidRDefault="005B659B">
      <w:r>
        <w:rPr>
          <w:rFonts w:ascii="Montserrat" w:hAnsi="Montserrat"/>
        </w:rPr>
        <w:t>Graph Ingestion, Tenant Mapping and TSS/API Readiness | Synovia Flow QAS | 23 June 2026</w:t>
      </w:r>
    </w:p>
    <w:tbl>
      <w:tblPr>
        <w:tblW w:w="0" w:type="auto"/>
        <w:tblCellMar>
          <w:left w:w="10" w:type="dxa"/>
          <w:right w:w="10" w:type="dxa"/>
        </w:tblCellMar>
        <w:tblLook w:val="0000" w:firstRow="0" w:lastRow="0" w:firstColumn="0" w:lastColumn="0" w:noHBand="0" w:noVBand="0"/>
      </w:tblPr>
      <w:tblGrid>
        <w:gridCol w:w="2100"/>
        <w:gridCol w:w="7200"/>
      </w:tblGrid>
      <w:tr w:rsidR="00AA744C" w14:paraId="6B3A23BF" w14:textId="77777777">
        <w:tblPrEx>
          <w:tblCellMar>
            <w:top w:w="0" w:type="dxa"/>
            <w:bottom w:w="0" w:type="dxa"/>
          </w:tblCellMar>
        </w:tblPrEx>
        <w:tc>
          <w:tcPr>
            <w:tcW w:w="2100" w:type="dxa"/>
            <w:shd w:val="clear" w:color="auto" w:fill="EAF3FF"/>
            <w:tcMar>
              <w:top w:w="110" w:type="dxa"/>
              <w:left w:w="110" w:type="dxa"/>
              <w:bottom w:w="110" w:type="dxa"/>
              <w:right w:w="110" w:type="dxa"/>
            </w:tcMar>
          </w:tcPr>
          <w:p w14:paraId="355B5F95" w14:textId="77777777" w:rsidR="00AA744C" w:rsidRDefault="005B659B">
            <w:r>
              <w:rPr>
                <w:rFonts w:ascii="Montserrat" w:hAnsi="Montserrat"/>
                <w:b/>
                <w:color w:val="1F4E79"/>
              </w:rPr>
              <w:t>Intent</w:t>
            </w:r>
          </w:p>
        </w:tc>
        <w:tc>
          <w:tcPr>
            <w:tcW w:w="7200" w:type="dxa"/>
            <w:shd w:val="clear" w:color="auto" w:fill="EAF3FF"/>
            <w:tcMar>
              <w:top w:w="110" w:type="dxa"/>
              <w:left w:w="110" w:type="dxa"/>
              <w:bottom w:w="110" w:type="dxa"/>
              <w:right w:w="110" w:type="dxa"/>
            </w:tcMar>
          </w:tcPr>
          <w:p w14:paraId="0D6EB59E" w14:textId="77777777" w:rsidR="00AA744C" w:rsidRDefault="005B659B">
            <w:r>
              <w:rPr>
                <w:rFonts w:ascii="Montserrat" w:hAnsi="Montserrat"/>
                <w:color w:val="172033"/>
              </w:rPr>
              <w:t>This document defines how customer files received by email should be captured, mapped, validated and prepared for API processing. It focuses on tenant-specific Excel mapping, API validation visibility and safe consolidation.</w:t>
            </w:r>
          </w:p>
        </w:tc>
      </w:tr>
    </w:tbl>
    <w:p w14:paraId="307A3CD1" w14:textId="77777777" w:rsidR="00AA744C" w:rsidRDefault="005B659B">
      <w:proofErr w:type="gramStart"/>
      <w:r>
        <w:rPr>
          <w:rFonts w:ascii="Montserrat" w:hAnsi="Montserrat"/>
          <w:b/>
          <w:color w:val="4F9FE8"/>
          <w:sz w:val="26"/>
        </w:rPr>
        <w:t>01</w:t>
      </w:r>
      <w:r>
        <w:rPr>
          <w:rFonts w:ascii="Montserrat" w:hAnsi="Montserrat"/>
          <w:b/>
          <w:color w:val="1F4E79"/>
          <w:sz w:val="26"/>
        </w:rPr>
        <w:t xml:space="preserve">  Technical</w:t>
      </w:r>
      <w:proofErr w:type="gramEnd"/>
      <w:r>
        <w:rPr>
          <w:rFonts w:ascii="Montserrat" w:hAnsi="Montserrat"/>
          <w:b/>
          <w:color w:val="1F4E79"/>
          <w:sz w:val="26"/>
        </w:rPr>
        <w:t xml:space="preserve"> Objective</w:t>
      </w:r>
    </w:p>
    <w:p w14:paraId="5C7BDD17" w14:textId="77777777" w:rsidR="00AA744C" w:rsidRDefault="005B659B">
      <w:r>
        <w:rPr>
          <w:rFonts w:ascii="Montserrat" w:hAnsi="Montserrat"/>
        </w:rPr>
        <w:t xml:space="preserve">The main objective is to ensure that files received through customer emails are not just </w:t>
      </w:r>
      <w:proofErr w:type="gramStart"/>
      <w:r>
        <w:rPr>
          <w:rFonts w:ascii="Montserrat" w:hAnsi="Montserrat"/>
        </w:rPr>
        <w:t>saved, but</w:t>
      </w:r>
      <w:proofErr w:type="gramEnd"/>
      <w:r>
        <w:rPr>
          <w:rFonts w:ascii="Montserrat" w:hAnsi="Montserrat"/>
        </w:rPr>
        <w:t xml:space="preserve"> understood. Each file must be linked to the correct tenant, all source columns must be accounted for, and the resulting data must be ready for validation against the TSS/API contract.</w:t>
      </w:r>
    </w:p>
    <w:p w14:paraId="16DD99EB" w14:textId="77777777" w:rsidR="00AA744C" w:rsidRDefault="005B659B">
      <w:r>
        <w:rPr>
          <w:rFonts w:ascii="Montserrat" w:hAnsi="Montserrat"/>
        </w:rPr>
        <w:t>The local file copy is useful for audit, support and reprocessing evidence. However, the preferred processing path should not depend on watching a local folder. When possible, the Graph attachment content should be read directly from the email and passed into the parsing, mapping and validation flow.</w:t>
      </w:r>
    </w:p>
    <w:p w14:paraId="4E6688B0" w14:textId="77777777" w:rsidR="00AA744C" w:rsidRDefault="005B659B">
      <w:r>
        <w:rPr>
          <w:rFonts w:ascii="Montserrat" w:hAnsi="Montserrat"/>
        </w:rPr>
        <w:t>This keeps the ingestion path clear: Graph is the source, Integration Layer stores the evidence, and the validator produces API-ready data or clear validation feedback.</w:t>
      </w:r>
    </w:p>
    <w:p w14:paraId="4E96AA3E" w14:textId="77777777" w:rsidR="00AA744C" w:rsidRDefault="005B659B">
      <w:proofErr w:type="gramStart"/>
      <w:r>
        <w:rPr>
          <w:rFonts w:ascii="Montserrat" w:hAnsi="Montserrat"/>
          <w:b/>
          <w:color w:val="4F9FE8"/>
          <w:sz w:val="26"/>
        </w:rPr>
        <w:t>02</w:t>
      </w:r>
      <w:r>
        <w:rPr>
          <w:rFonts w:ascii="Montserrat" w:hAnsi="Montserrat"/>
          <w:b/>
          <w:color w:val="1F4E79"/>
          <w:sz w:val="26"/>
        </w:rPr>
        <w:t xml:space="preserve">  Graph</w:t>
      </w:r>
      <w:proofErr w:type="gramEnd"/>
      <w:r>
        <w:rPr>
          <w:rFonts w:ascii="Montserrat" w:hAnsi="Montserrat"/>
          <w:b/>
          <w:color w:val="1F4E79"/>
          <w:sz w:val="26"/>
        </w:rPr>
        <w:t xml:space="preserve"> Ingestion and Local Storage</w:t>
      </w:r>
    </w:p>
    <w:p w14:paraId="050DF25B" w14:textId="77777777" w:rsidR="00AA744C" w:rsidRDefault="005B659B">
      <w:r>
        <w:rPr>
          <w:rFonts w:ascii="Montserrat" w:hAnsi="Montserrat"/>
        </w:rPr>
        <w:t>Microsoft Graph should read the configured mailbox using app-only credentials. For each email, the system should identify the tenant using sender domain/address rules, then read the supported attachments.</w:t>
      </w:r>
    </w:p>
    <w:p w14:paraId="03173AC5" w14:textId="77777777" w:rsidR="00AA744C" w:rsidRDefault="005B659B">
      <w:r>
        <w:rPr>
          <w:rFonts w:ascii="Montserrat" w:hAnsi="Montserrat"/>
        </w:rPr>
        <w:t>Accepted files should still be saved locally under the tenant Integration Layer folder. This local copy is not the primary processing mechanism; it is the retained source artefact for traceability, support checks and controlled retry.</w:t>
      </w:r>
    </w:p>
    <w:p w14:paraId="2D364367" w14:textId="77777777" w:rsidR="00AA744C" w:rsidRDefault="005B659B">
      <w:pPr>
        <w:ind w:left="360" w:hanging="180"/>
      </w:pPr>
      <w:r>
        <w:rPr>
          <w:rFonts w:ascii="Montserrat" w:hAnsi="Montserrat"/>
        </w:rPr>
        <w:t>? Graph reads mailbox messages and attachments from the configured mailbox/folder.</w:t>
      </w:r>
    </w:p>
    <w:p w14:paraId="15C483DD" w14:textId="77777777" w:rsidR="00AA744C" w:rsidRDefault="005B659B">
      <w:pPr>
        <w:ind w:left="360" w:hanging="180"/>
      </w:pPr>
      <w:r>
        <w:rPr>
          <w:rFonts w:ascii="Montserrat" w:hAnsi="Montserrat"/>
        </w:rPr>
        <w:t>? Tenant rules decide the destination route, for example BKD, PLE or CW.</w:t>
      </w:r>
    </w:p>
    <w:p w14:paraId="2F037DAB" w14:textId="77777777" w:rsidR="00AA744C" w:rsidRDefault="005B659B">
      <w:pPr>
        <w:ind w:left="360" w:hanging="180"/>
      </w:pPr>
      <w:r>
        <w:rPr>
          <w:rFonts w:ascii="Montserrat" w:hAnsi="Montserrat"/>
        </w:rPr>
        <w:lastRenderedPageBreak/>
        <w:t>? Accepted attachments are saved under Integration_Layer/&lt;Tenant&gt;/Inbound/... with a received-date suffix.</w:t>
      </w:r>
    </w:p>
    <w:p w14:paraId="33F8CE6E" w14:textId="77777777" w:rsidR="00AA744C" w:rsidRDefault="005B659B">
      <w:pPr>
        <w:ind w:left="360" w:hanging="180"/>
      </w:pPr>
      <w:r>
        <w:rPr>
          <w:rFonts w:ascii="Montserrat" w:hAnsi="Montserrat"/>
        </w:rPr>
        <w:t>? The same attachment content should be passed directly into the parser/validator without needing a second folder-based process.</w:t>
      </w:r>
    </w:p>
    <w:p w14:paraId="6B142C79" w14:textId="77777777" w:rsidR="00AA744C" w:rsidRDefault="005B659B">
      <w:pPr>
        <w:ind w:left="360" w:hanging="180"/>
      </w:pPr>
      <w:r>
        <w:rPr>
          <w:rFonts w:ascii="Montserrat" w:hAnsi="Montserrat"/>
        </w:rPr>
        <w:t>? Run logs should record scanned, matched, skipped, saved and failed messages.</w:t>
      </w:r>
    </w:p>
    <w:tbl>
      <w:tblPr>
        <w:tblW w:w="0" w:type="auto"/>
        <w:tblCellMar>
          <w:left w:w="10" w:type="dxa"/>
          <w:right w:w="10" w:type="dxa"/>
        </w:tblCellMar>
        <w:tblLook w:val="0000" w:firstRow="0" w:lastRow="0" w:firstColumn="0" w:lastColumn="0" w:noHBand="0" w:noVBand="0"/>
      </w:tblPr>
      <w:tblGrid>
        <w:gridCol w:w="2300"/>
        <w:gridCol w:w="3500"/>
        <w:gridCol w:w="3600"/>
      </w:tblGrid>
      <w:tr w:rsidR="00AA744C" w14:paraId="6B7C6824" w14:textId="77777777">
        <w:tblPrEx>
          <w:tblCellMar>
            <w:top w:w="0" w:type="dxa"/>
            <w:bottom w:w="0" w:type="dxa"/>
          </w:tblCellMar>
        </w:tblPrEx>
        <w:tc>
          <w:tcPr>
            <w:tcW w:w="2300" w:type="dxa"/>
            <w:shd w:val="clear" w:color="auto" w:fill="1F4E79"/>
            <w:tcMar>
              <w:top w:w="110" w:type="dxa"/>
              <w:left w:w="110" w:type="dxa"/>
              <w:bottom w:w="110" w:type="dxa"/>
              <w:right w:w="110" w:type="dxa"/>
            </w:tcMar>
          </w:tcPr>
          <w:p w14:paraId="7FFB07FA" w14:textId="77777777" w:rsidR="00AA744C" w:rsidRDefault="005B659B">
            <w:r>
              <w:rPr>
                <w:rFonts w:ascii="Montserrat" w:hAnsi="Montserrat"/>
                <w:b/>
                <w:color w:val="FFFFFF"/>
              </w:rPr>
              <w:t>Purpose</w:t>
            </w:r>
          </w:p>
        </w:tc>
        <w:tc>
          <w:tcPr>
            <w:tcW w:w="3500" w:type="dxa"/>
            <w:shd w:val="clear" w:color="auto" w:fill="1F4E79"/>
            <w:tcMar>
              <w:top w:w="110" w:type="dxa"/>
              <w:left w:w="110" w:type="dxa"/>
              <w:bottom w:w="110" w:type="dxa"/>
              <w:right w:w="110" w:type="dxa"/>
            </w:tcMar>
          </w:tcPr>
          <w:p w14:paraId="5C6E02EC" w14:textId="77777777" w:rsidR="00AA744C" w:rsidRDefault="005B659B">
            <w:r>
              <w:rPr>
                <w:rFonts w:ascii="Montserrat" w:hAnsi="Montserrat"/>
                <w:b/>
                <w:color w:val="FFFFFF"/>
              </w:rPr>
              <w:t>Local Folder</w:t>
            </w:r>
          </w:p>
        </w:tc>
        <w:tc>
          <w:tcPr>
            <w:tcW w:w="3600" w:type="dxa"/>
            <w:shd w:val="clear" w:color="auto" w:fill="1F4E79"/>
            <w:tcMar>
              <w:top w:w="110" w:type="dxa"/>
              <w:left w:w="110" w:type="dxa"/>
              <w:bottom w:w="110" w:type="dxa"/>
              <w:right w:w="110" w:type="dxa"/>
            </w:tcMar>
          </w:tcPr>
          <w:p w14:paraId="0372F061" w14:textId="77777777" w:rsidR="00AA744C" w:rsidRDefault="005B659B">
            <w:r>
              <w:rPr>
                <w:rFonts w:ascii="Montserrat" w:hAnsi="Montserrat"/>
                <w:b/>
                <w:color w:val="FFFFFF"/>
              </w:rPr>
              <w:t>Processing Source</w:t>
            </w:r>
          </w:p>
        </w:tc>
      </w:tr>
      <w:tr w:rsidR="00AA744C" w14:paraId="64F9C97B" w14:textId="77777777">
        <w:tblPrEx>
          <w:tblCellMar>
            <w:top w:w="0" w:type="dxa"/>
            <w:bottom w:w="0" w:type="dxa"/>
          </w:tblCellMar>
        </w:tblPrEx>
        <w:tc>
          <w:tcPr>
            <w:tcW w:w="2300" w:type="dxa"/>
            <w:tcMar>
              <w:top w:w="110" w:type="dxa"/>
              <w:left w:w="110" w:type="dxa"/>
              <w:bottom w:w="110" w:type="dxa"/>
              <w:right w:w="110" w:type="dxa"/>
            </w:tcMar>
          </w:tcPr>
          <w:p w14:paraId="1EB4220B" w14:textId="77777777" w:rsidR="00AA744C" w:rsidRDefault="005B659B">
            <w:r>
              <w:rPr>
                <w:rFonts w:ascii="Montserrat" w:hAnsi="Montserrat"/>
                <w:color w:val="172033"/>
              </w:rPr>
              <w:t>Audit / evidence</w:t>
            </w:r>
          </w:p>
        </w:tc>
        <w:tc>
          <w:tcPr>
            <w:tcW w:w="3500" w:type="dxa"/>
            <w:tcMar>
              <w:top w:w="110" w:type="dxa"/>
              <w:left w:w="110" w:type="dxa"/>
              <w:bottom w:w="110" w:type="dxa"/>
              <w:right w:w="110" w:type="dxa"/>
            </w:tcMar>
          </w:tcPr>
          <w:p w14:paraId="7F8AC84C" w14:textId="77777777" w:rsidR="00AA744C" w:rsidRDefault="005B659B">
            <w:r>
              <w:rPr>
                <w:rFonts w:ascii="Montserrat" w:hAnsi="Montserrat"/>
                <w:color w:val="172033"/>
              </w:rPr>
              <w:t xml:space="preserve">Yes - keep original customer </w:t>
            </w:r>
            <w:proofErr w:type="gramStart"/>
            <w:r>
              <w:rPr>
                <w:rFonts w:ascii="Montserrat" w:hAnsi="Montserrat"/>
                <w:color w:val="172033"/>
              </w:rPr>
              <w:t>file</w:t>
            </w:r>
            <w:proofErr w:type="gramEnd"/>
            <w:r>
              <w:rPr>
                <w:rFonts w:ascii="Montserrat" w:hAnsi="Montserrat"/>
                <w:color w:val="172033"/>
              </w:rPr>
              <w:t xml:space="preserve"> </w:t>
            </w:r>
            <w:proofErr w:type="gramStart"/>
            <w:r>
              <w:rPr>
                <w:rFonts w:ascii="Montserrat" w:hAnsi="Montserrat"/>
                <w:color w:val="172033"/>
              </w:rPr>
              <w:t>by</w:t>
            </w:r>
            <w:proofErr w:type="gramEnd"/>
            <w:r>
              <w:rPr>
                <w:rFonts w:ascii="Montserrat" w:hAnsi="Montserrat"/>
                <w:color w:val="172033"/>
              </w:rPr>
              <w:t xml:space="preserve"> tenant.</w:t>
            </w:r>
          </w:p>
        </w:tc>
        <w:tc>
          <w:tcPr>
            <w:tcW w:w="3600" w:type="dxa"/>
            <w:tcMar>
              <w:top w:w="110" w:type="dxa"/>
              <w:left w:w="110" w:type="dxa"/>
              <w:bottom w:w="110" w:type="dxa"/>
              <w:right w:w="110" w:type="dxa"/>
            </w:tcMar>
          </w:tcPr>
          <w:p w14:paraId="0A3316AE" w14:textId="77777777" w:rsidR="00AA744C" w:rsidRDefault="005B659B">
            <w:r>
              <w:rPr>
                <w:rFonts w:ascii="Montserrat" w:hAnsi="Montserrat"/>
                <w:color w:val="172033"/>
              </w:rPr>
              <w:t>No - this is not the preferred trigger.</w:t>
            </w:r>
          </w:p>
        </w:tc>
      </w:tr>
      <w:tr w:rsidR="00AA744C" w14:paraId="24968A01" w14:textId="77777777">
        <w:tblPrEx>
          <w:tblCellMar>
            <w:top w:w="0" w:type="dxa"/>
            <w:bottom w:w="0" w:type="dxa"/>
          </w:tblCellMar>
        </w:tblPrEx>
        <w:tc>
          <w:tcPr>
            <w:tcW w:w="2300" w:type="dxa"/>
            <w:shd w:val="clear" w:color="auto" w:fill="F7FAFE"/>
            <w:tcMar>
              <w:top w:w="110" w:type="dxa"/>
              <w:left w:w="110" w:type="dxa"/>
              <w:bottom w:w="110" w:type="dxa"/>
              <w:right w:w="110" w:type="dxa"/>
            </w:tcMar>
          </w:tcPr>
          <w:p w14:paraId="5DB35D55" w14:textId="77777777" w:rsidR="00AA744C" w:rsidRDefault="005B659B">
            <w:r>
              <w:rPr>
                <w:rFonts w:ascii="Montserrat" w:hAnsi="Montserrat"/>
                <w:color w:val="172033"/>
              </w:rPr>
              <w:t>Validation pipeline</w:t>
            </w:r>
          </w:p>
        </w:tc>
        <w:tc>
          <w:tcPr>
            <w:tcW w:w="3500" w:type="dxa"/>
            <w:shd w:val="clear" w:color="auto" w:fill="F7FAFE"/>
            <w:tcMar>
              <w:top w:w="110" w:type="dxa"/>
              <w:left w:w="110" w:type="dxa"/>
              <w:bottom w:w="110" w:type="dxa"/>
              <w:right w:w="110" w:type="dxa"/>
            </w:tcMar>
          </w:tcPr>
          <w:p w14:paraId="45106410" w14:textId="77777777" w:rsidR="00AA744C" w:rsidRDefault="005B659B">
            <w:r>
              <w:rPr>
                <w:rFonts w:ascii="Montserrat" w:hAnsi="Montserrat"/>
                <w:color w:val="172033"/>
              </w:rPr>
              <w:t>Optional fallback for reprocessing.</w:t>
            </w:r>
          </w:p>
        </w:tc>
        <w:tc>
          <w:tcPr>
            <w:tcW w:w="3600" w:type="dxa"/>
            <w:shd w:val="clear" w:color="auto" w:fill="F7FAFE"/>
            <w:tcMar>
              <w:top w:w="110" w:type="dxa"/>
              <w:left w:w="110" w:type="dxa"/>
              <w:bottom w:w="110" w:type="dxa"/>
              <w:right w:w="110" w:type="dxa"/>
            </w:tcMar>
          </w:tcPr>
          <w:p w14:paraId="20DBA004" w14:textId="77777777" w:rsidR="00AA744C" w:rsidRDefault="005B659B">
            <w:r>
              <w:rPr>
                <w:rFonts w:ascii="Montserrat" w:hAnsi="Montserrat"/>
                <w:color w:val="172033"/>
              </w:rPr>
              <w:t>Yes - read Graph attachment content directly where possible.</w:t>
            </w:r>
          </w:p>
        </w:tc>
      </w:tr>
      <w:tr w:rsidR="00AA744C" w14:paraId="757D6A2B" w14:textId="77777777">
        <w:tblPrEx>
          <w:tblCellMar>
            <w:top w:w="0" w:type="dxa"/>
            <w:bottom w:w="0" w:type="dxa"/>
          </w:tblCellMar>
        </w:tblPrEx>
        <w:tc>
          <w:tcPr>
            <w:tcW w:w="2300" w:type="dxa"/>
            <w:tcMar>
              <w:top w:w="110" w:type="dxa"/>
              <w:left w:w="110" w:type="dxa"/>
              <w:bottom w:w="110" w:type="dxa"/>
              <w:right w:w="110" w:type="dxa"/>
            </w:tcMar>
          </w:tcPr>
          <w:p w14:paraId="3E3905F4" w14:textId="77777777" w:rsidR="00AA744C" w:rsidRDefault="005B659B">
            <w:r>
              <w:rPr>
                <w:rFonts w:ascii="Montserrat" w:hAnsi="Montserrat"/>
                <w:color w:val="172033"/>
              </w:rPr>
              <w:t>Manual import</w:t>
            </w:r>
          </w:p>
        </w:tc>
        <w:tc>
          <w:tcPr>
            <w:tcW w:w="3500" w:type="dxa"/>
            <w:tcMar>
              <w:top w:w="110" w:type="dxa"/>
              <w:left w:w="110" w:type="dxa"/>
              <w:bottom w:w="110" w:type="dxa"/>
              <w:right w:w="110" w:type="dxa"/>
            </w:tcMar>
          </w:tcPr>
          <w:p w14:paraId="2CA64752" w14:textId="77777777" w:rsidR="00AA744C" w:rsidRDefault="005B659B">
            <w:r>
              <w:rPr>
                <w:rFonts w:ascii="Montserrat" w:hAnsi="Montserrat"/>
                <w:color w:val="172033"/>
              </w:rPr>
              <w:t>User-selected upload, not mailbox folder polling.</w:t>
            </w:r>
          </w:p>
        </w:tc>
        <w:tc>
          <w:tcPr>
            <w:tcW w:w="3600" w:type="dxa"/>
            <w:tcMar>
              <w:top w:w="110" w:type="dxa"/>
              <w:left w:w="110" w:type="dxa"/>
              <w:bottom w:w="110" w:type="dxa"/>
              <w:right w:w="110" w:type="dxa"/>
            </w:tcMar>
          </w:tcPr>
          <w:p w14:paraId="020ADAED" w14:textId="77777777" w:rsidR="00AA744C" w:rsidRDefault="005B659B">
            <w:r>
              <w:rPr>
                <w:rFonts w:ascii="Montserrat" w:hAnsi="Montserrat"/>
                <w:color w:val="172033"/>
              </w:rPr>
              <w:t>Use the same parser and validation rules as Graph ingestion.</w:t>
            </w:r>
          </w:p>
        </w:tc>
      </w:tr>
    </w:tbl>
    <w:p w14:paraId="675EFD0A" w14:textId="77777777" w:rsidR="00AA744C" w:rsidRDefault="005B659B">
      <w:proofErr w:type="gramStart"/>
      <w:r>
        <w:rPr>
          <w:rFonts w:ascii="Montserrat" w:hAnsi="Montserrat"/>
          <w:b/>
          <w:color w:val="4F9FE8"/>
          <w:sz w:val="26"/>
        </w:rPr>
        <w:t>03</w:t>
      </w:r>
      <w:r>
        <w:rPr>
          <w:rFonts w:ascii="Montserrat" w:hAnsi="Montserrat"/>
          <w:b/>
          <w:color w:val="1F4E79"/>
          <w:sz w:val="26"/>
        </w:rPr>
        <w:t xml:space="preserve">  Tenant</w:t>
      </w:r>
      <w:proofErr w:type="gramEnd"/>
      <w:r>
        <w:rPr>
          <w:rFonts w:ascii="Montserrat" w:hAnsi="Montserrat"/>
          <w:b/>
          <w:color w:val="1F4E79"/>
          <w:sz w:val="26"/>
        </w:rPr>
        <w:t>-Specific Mapping</w:t>
      </w:r>
    </w:p>
    <w:p w14:paraId="421E5E7F" w14:textId="77777777" w:rsidR="00AA744C" w:rsidRDefault="005B659B">
      <w:r>
        <w:rPr>
          <w:rFonts w:ascii="Montserrat" w:hAnsi="Montserrat"/>
        </w:rPr>
        <w:t>PLE, CW and BKD may not send the same Excel structure. The system therefore needs tenant-specific mappings. The mapping must not only look at fields we already expect; it must account for every source column in the file.</w:t>
      </w:r>
    </w:p>
    <w:p w14:paraId="221BFD43" w14:textId="77777777" w:rsidR="00AA744C" w:rsidRDefault="005B659B">
      <w:r>
        <w:rPr>
          <w:rFonts w:ascii="Montserrat" w:hAnsi="Montserrat"/>
        </w:rPr>
        <w:t>Each column should be classified as one of four things: direct API field, derived/supporting value, audit/traceability value, or ignored/not required. This prevents useful customer data from being lost and makes it clear why a column is or is not used.</w:t>
      </w:r>
    </w:p>
    <w:p w14:paraId="26CFC5FD" w14:textId="77777777" w:rsidR="00AA744C" w:rsidRDefault="005B659B">
      <w:pPr>
        <w:ind w:left="360" w:hanging="180"/>
      </w:pPr>
      <w:r>
        <w:rPr>
          <w:rFonts w:ascii="Montserrat" w:hAnsi="Montserrat"/>
        </w:rPr>
        <w:t xml:space="preserve">? Birkdale already has similar validation </w:t>
      </w:r>
      <w:proofErr w:type="spellStart"/>
      <w:r>
        <w:rPr>
          <w:rFonts w:ascii="Montserrat" w:hAnsi="Montserrat"/>
        </w:rPr>
        <w:t>behaviour</w:t>
      </w:r>
      <w:proofErr w:type="spellEnd"/>
      <w:r>
        <w:rPr>
          <w:rFonts w:ascii="Montserrat" w:hAnsi="Montserrat"/>
        </w:rPr>
        <w:t xml:space="preserve"> in Flow V2 during manual creation.</w:t>
      </w:r>
    </w:p>
    <w:p w14:paraId="0BEB3BCD" w14:textId="77777777" w:rsidR="00AA744C" w:rsidRDefault="005B659B">
      <w:pPr>
        <w:ind w:left="360" w:hanging="180"/>
      </w:pPr>
      <w:r>
        <w:rPr>
          <w:rFonts w:ascii="Montserrat" w:hAnsi="Montserrat"/>
        </w:rPr>
        <w:t>? PLE and CW mappings should follow the real structure of the files they provide.</w:t>
      </w:r>
    </w:p>
    <w:p w14:paraId="5A61E67C" w14:textId="77777777" w:rsidR="00AA744C" w:rsidRDefault="005B659B">
      <w:pPr>
        <w:ind w:left="360" w:hanging="180"/>
      </w:pPr>
      <w:r>
        <w:rPr>
          <w:rFonts w:ascii="Montserrat" w:hAnsi="Montserrat"/>
        </w:rPr>
        <w:t>? Manual import and Graph ingestion should share the same mapping and validation rules once the file structure is confirmed.</w:t>
      </w:r>
    </w:p>
    <w:p w14:paraId="78D41A08" w14:textId="77777777" w:rsidR="00AA744C" w:rsidRDefault="005B659B">
      <w:proofErr w:type="gramStart"/>
      <w:r>
        <w:rPr>
          <w:rFonts w:ascii="Montserrat" w:hAnsi="Montserrat"/>
          <w:b/>
          <w:color w:val="4F9FE8"/>
          <w:sz w:val="26"/>
        </w:rPr>
        <w:t>04</w:t>
      </w:r>
      <w:r>
        <w:rPr>
          <w:rFonts w:ascii="Montserrat" w:hAnsi="Montserrat"/>
          <w:b/>
          <w:color w:val="1F4E79"/>
          <w:sz w:val="26"/>
        </w:rPr>
        <w:t xml:space="preserve">  Validation</w:t>
      </w:r>
      <w:proofErr w:type="gramEnd"/>
      <w:r>
        <w:rPr>
          <w:rFonts w:ascii="Montserrat" w:hAnsi="Montserrat"/>
          <w:b/>
          <w:color w:val="1F4E79"/>
          <w:sz w:val="26"/>
        </w:rPr>
        <w:t xml:space="preserve"> Approach</w:t>
      </w:r>
    </w:p>
    <w:p w14:paraId="7BF78FD3" w14:textId="77777777" w:rsidR="00AA744C" w:rsidRDefault="005B659B">
      <w:r>
        <w:rPr>
          <w:rFonts w:ascii="Montserrat" w:hAnsi="Montserrat"/>
        </w:rPr>
        <w:t>Before any data is sent to the API, mapped values must be checked against the TSS/API contract. This includes required fields, conditional fields, maximum lengths, numeric limits, accepted formats and choice values.</w:t>
      </w:r>
    </w:p>
    <w:p w14:paraId="635599A5" w14:textId="77777777" w:rsidR="00AA744C" w:rsidRDefault="005B659B">
      <w:r>
        <w:rPr>
          <w:rFonts w:ascii="Montserrat" w:hAnsi="Montserrat"/>
        </w:rPr>
        <w:t>The validation screen or report should show what the API is likely to reject before the request is sent. This is important because support and QA need to understand the reason for a failed row, not just see that the file failed.</w:t>
      </w:r>
    </w:p>
    <w:tbl>
      <w:tblPr>
        <w:tblW w:w="0" w:type="auto"/>
        <w:tblCellMar>
          <w:left w:w="10" w:type="dxa"/>
          <w:right w:w="10" w:type="dxa"/>
        </w:tblCellMar>
        <w:tblLook w:val="0000" w:firstRow="0" w:lastRow="0" w:firstColumn="0" w:lastColumn="0" w:noHBand="0" w:noVBand="0"/>
      </w:tblPr>
      <w:tblGrid>
        <w:gridCol w:w="2600"/>
        <w:gridCol w:w="6800"/>
      </w:tblGrid>
      <w:tr w:rsidR="00AA744C" w14:paraId="61942BDB" w14:textId="77777777">
        <w:tblPrEx>
          <w:tblCellMar>
            <w:top w:w="0" w:type="dxa"/>
            <w:bottom w:w="0" w:type="dxa"/>
          </w:tblCellMar>
        </w:tblPrEx>
        <w:tc>
          <w:tcPr>
            <w:tcW w:w="2600" w:type="dxa"/>
            <w:shd w:val="clear" w:color="auto" w:fill="1F4E79"/>
            <w:tcMar>
              <w:top w:w="110" w:type="dxa"/>
              <w:left w:w="110" w:type="dxa"/>
              <w:bottom w:w="110" w:type="dxa"/>
              <w:right w:w="110" w:type="dxa"/>
            </w:tcMar>
          </w:tcPr>
          <w:p w14:paraId="65F442DA" w14:textId="77777777" w:rsidR="00AA744C" w:rsidRDefault="005B659B">
            <w:r>
              <w:rPr>
                <w:rFonts w:ascii="Montserrat" w:hAnsi="Montserrat"/>
                <w:b/>
                <w:color w:val="FFFFFF"/>
              </w:rPr>
              <w:lastRenderedPageBreak/>
              <w:t>API Rule Type</w:t>
            </w:r>
          </w:p>
        </w:tc>
        <w:tc>
          <w:tcPr>
            <w:tcW w:w="6800" w:type="dxa"/>
            <w:shd w:val="clear" w:color="auto" w:fill="1F4E79"/>
            <w:tcMar>
              <w:top w:w="110" w:type="dxa"/>
              <w:left w:w="110" w:type="dxa"/>
              <w:bottom w:w="110" w:type="dxa"/>
              <w:right w:w="110" w:type="dxa"/>
            </w:tcMar>
          </w:tcPr>
          <w:p w14:paraId="66B5A552" w14:textId="77777777" w:rsidR="00AA744C" w:rsidRDefault="005B659B">
            <w:r>
              <w:rPr>
                <w:rFonts w:ascii="Montserrat" w:hAnsi="Montserrat"/>
                <w:b/>
                <w:color w:val="FFFFFF"/>
              </w:rPr>
              <w:t xml:space="preserve">Example Validation </w:t>
            </w:r>
            <w:proofErr w:type="gramStart"/>
            <w:r>
              <w:rPr>
                <w:rFonts w:ascii="Montserrat" w:hAnsi="Montserrat"/>
                <w:b/>
                <w:color w:val="FFFFFF"/>
              </w:rPr>
              <w:t>To</w:t>
            </w:r>
            <w:proofErr w:type="gramEnd"/>
            <w:r>
              <w:rPr>
                <w:rFonts w:ascii="Montserrat" w:hAnsi="Montserrat"/>
                <w:b/>
                <w:color w:val="FFFFFF"/>
              </w:rPr>
              <w:t xml:space="preserve"> Show</w:t>
            </w:r>
          </w:p>
        </w:tc>
      </w:tr>
      <w:tr w:rsidR="00AA744C" w14:paraId="794B8999" w14:textId="77777777">
        <w:tblPrEx>
          <w:tblCellMar>
            <w:top w:w="0" w:type="dxa"/>
            <w:bottom w:w="0" w:type="dxa"/>
          </w:tblCellMar>
        </w:tblPrEx>
        <w:tc>
          <w:tcPr>
            <w:tcW w:w="2600" w:type="dxa"/>
            <w:tcMar>
              <w:top w:w="110" w:type="dxa"/>
              <w:left w:w="110" w:type="dxa"/>
              <w:bottom w:w="110" w:type="dxa"/>
              <w:right w:w="110" w:type="dxa"/>
            </w:tcMar>
          </w:tcPr>
          <w:p w14:paraId="0C634E13" w14:textId="77777777" w:rsidR="00AA744C" w:rsidRDefault="005B659B">
            <w:r>
              <w:rPr>
                <w:rFonts w:ascii="Montserrat" w:hAnsi="Montserrat"/>
                <w:color w:val="172033"/>
              </w:rPr>
              <w:t>Text length</w:t>
            </w:r>
          </w:p>
        </w:tc>
        <w:tc>
          <w:tcPr>
            <w:tcW w:w="6800" w:type="dxa"/>
            <w:tcMar>
              <w:top w:w="110" w:type="dxa"/>
              <w:left w:w="110" w:type="dxa"/>
              <w:bottom w:w="110" w:type="dxa"/>
              <w:right w:w="110" w:type="dxa"/>
            </w:tcMar>
          </w:tcPr>
          <w:p w14:paraId="58B6D663" w14:textId="77777777" w:rsidR="00AA744C" w:rsidRDefault="005B659B">
            <w:r>
              <w:rPr>
                <w:rFonts w:ascii="Montserrat" w:hAnsi="Montserrat"/>
                <w:color w:val="172033"/>
              </w:rPr>
              <w:t>Transport document number max 35 characters; package marks max 140; goods descriptions have API length limits.</w:t>
            </w:r>
          </w:p>
        </w:tc>
      </w:tr>
      <w:tr w:rsidR="00AA744C" w14:paraId="12D46BB9" w14:textId="77777777">
        <w:tblPrEx>
          <w:tblCellMar>
            <w:top w:w="0" w:type="dxa"/>
            <w:bottom w:w="0" w:type="dxa"/>
          </w:tblCellMar>
        </w:tblPrEx>
        <w:tc>
          <w:tcPr>
            <w:tcW w:w="2600" w:type="dxa"/>
            <w:shd w:val="clear" w:color="auto" w:fill="F7FAFE"/>
            <w:tcMar>
              <w:top w:w="110" w:type="dxa"/>
              <w:left w:w="110" w:type="dxa"/>
              <w:bottom w:w="110" w:type="dxa"/>
              <w:right w:w="110" w:type="dxa"/>
            </w:tcMar>
          </w:tcPr>
          <w:p w14:paraId="61EAB987" w14:textId="77777777" w:rsidR="00AA744C" w:rsidRDefault="005B659B">
            <w:r>
              <w:rPr>
                <w:rFonts w:ascii="Montserrat" w:hAnsi="Montserrat"/>
                <w:color w:val="172033"/>
              </w:rPr>
              <w:t>Numeric rules</w:t>
            </w:r>
          </w:p>
        </w:tc>
        <w:tc>
          <w:tcPr>
            <w:tcW w:w="6800" w:type="dxa"/>
            <w:shd w:val="clear" w:color="auto" w:fill="F7FAFE"/>
            <w:tcMar>
              <w:top w:w="110" w:type="dxa"/>
              <w:left w:w="110" w:type="dxa"/>
              <w:bottom w:w="110" w:type="dxa"/>
              <w:right w:w="110" w:type="dxa"/>
            </w:tcMar>
          </w:tcPr>
          <w:p w14:paraId="04DC4F22" w14:textId="77777777" w:rsidR="00AA744C" w:rsidRDefault="005B659B">
            <w:r>
              <w:rPr>
                <w:rFonts w:ascii="Montserrat" w:hAnsi="Montserrat"/>
                <w:color w:val="172033"/>
              </w:rPr>
              <w:t>Package count must be an integer from 1 to 99999; gross mass supports max 13 digits and 2 decimals.</w:t>
            </w:r>
          </w:p>
        </w:tc>
      </w:tr>
      <w:tr w:rsidR="00AA744C" w14:paraId="6721722F" w14:textId="77777777">
        <w:tblPrEx>
          <w:tblCellMar>
            <w:top w:w="0" w:type="dxa"/>
            <w:bottom w:w="0" w:type="dxa"/>
          </w:tblCellMar>
        </w:tblPrEx>
        <w:tc>
          <w:tcPr>
            <w:tcW w:w="2600" w:type="dxa"/>
            <w:tcMar>
              <w:top w:w="110" w:type="dxa"/>
              <w:left w:w="110" w:type="dxa"/>
              <w:bottom w:w="110" w:type="dxa"/>
              <w:right w:w="110" w:type="dxa"/>
            </w:tcMar>
          </w:tcPr>
          <w:p w14:paraId="7A355DAA" w14:textId="77777777" w:rsidR="00AA744C" w:rsidRDefault="005B659B">
            <w:r>
              <w:rPr>
                <w:rFonts w:ascii="Montserrat" w:hAnsi="Montserrat"/>
                <w:color w:val="172033"/>
              </w:rPr>
              <w:t>Conditional rules</w:t>
            </w:r>
          </w:p>
        </w:tc>
        <w:tc>
          <w:tcPr>
            <w:tcW w:w="6800" w:type="dxa"/>
            <w:tcMar>
              <w:top w:w="110" w:type="dxa"/>
              <w:left w:w="110" w:type="dxa"/>
              <w:bottom w:w="110" w:type="dxa"/>
              <w:right w:w="110" w:type="dxa"/>
            </w:tcMar>
          </w:tcPr>
          <w:p w14:paraId="6C572B35" w14:textId="77777777" w:rsidR="00AA744C" w:rsidRDefault="005B659B">
            <w:r>
              <w:rPr>
                <w:rFonts w:ascii="Montserrat" w:hAnsi="Montserrat"/>
                <w:color w:val="172033"/>
              </w:rPr>
              <w:t>Commodity code rules depend on declaration path; country of origin is required under specific preference conditions.</w:t>
            </w:r>
          </w:p>
        </w:tc>
      </w:tr>
      <w:tr w:rsidR="00AA744C" w14:paraId="58F74DDB" w14:textId="77777777">
        <w:tblPrEx>
          <w:tblCellMar>
            <w:top w:w="0" w:type="dxa"/>
            <w:bottom w:w="0" w:type="dxa"/>
          </w:tblCellMar>
        </w:tblPrEx>
        <w:tc>
          <w:tcPr>
            <w:tcW w:w="2600" w:type="dxa"/>
            <w:shd w:val="clear" w:color="auto" w:fill="F7FAFE"/>
            <w:tcMar>
              <w:top w:w="110" w:type="dxa"/>
              <w:left w:w="110" w:type="dxa"/>
              <w:bottom w:w="110" w:type="dxa"/>
              <w:right w:w="110" w:type="dxa"/>
            </w:tcMar>
          </w:tcPr>
          <w:p w14:paraId="09265E81" w14:textId="77777777" w:rsidR="00AA744C" w:rsidRDefault="005B659B">
            <w:r>
              <w:rPr>
                <w:rFonts w:ascii="Montserrat" w:hAnsi="Montserrat"/>
                <w:color w:val="172033"/>
              </w:rPr>
              <w:t>Choice values</w:t>
            </w:r>
          </w:p>
        </w:tc>
        <w:tc>
          <w:tcPr>
            <w:tcW w:w="6800" w:type="dxa"/>
            <w:shd w:val="clear" w:color="auto" w:fill="F7FAFE"/>
            <w:tcMar>
              <w:top w:w="110" w:type="dxa"/>
              <w:left w:w="110" w:type="dxa"/>
              <w:bottom w:w="110" w:type="dxa"/>
              <w:right w:w="110" w:type="dxa"/>
            </w:tcMar>
          </w:tcPr>
          <w:p w14:paraId="20041DC8" w14:textId="77777777" w:rsidR="00AA744C" w:rsidRDefault="005B659B">
            <w:r>
              <w:rPr>
                <w:rFonts w:ascii="Montserrat" w:hAnsi="Montserrat"/>
                <w:color w:val="172033"/>
              </w:rPr>
              <w:t>Package type, currency, controlled goods type and other choice fields must map to accepted API values.</w:t>
            </w:r>
          </w:p>
        </w:tc>
      </w:tr>
      <w:tr w:rsidR="00AA744C" w14:paraId="57E9382D" w14:textId="77777777">
        <w:tblPrEx>
          <w:tblCellMar>
            <w:top w:w="0" w:type="dxa"/>
            <w:bottom w:w="0" w:type="dxa"/>
          </w:tblCellMar>
        </w:tblPrEx>
        <w:tc>
          <w:tcPr>
            <w:tcW w:w="2600" w:type="dxa"/>
            <w:tcMar>
              <w:top w:w="110" w:type="dxa"/>
              <w:left w:w="110" w:type="dxa"/>
              <w:bottom w:w="110" w:type="dxa"/>
              <w:right w:w="110" w:type="dxa"/>
            </w:tcMar>
          </w:tcPr>
          <w:p w14:paraId="2272C059" w14:textId="77777777" w:rsidR="00AA744C" w:rsidRDefault="005B659B">
            <w:r>
              <w:rPr>
                <w:rFonts w:ascii="Montserrat" w:hAnsi="Montserrat"/>
                <w:color w:val="172033"/>
              </w:rPr>
              <w:t>Mandatory values</w:t>
            </w:r>
          </w:p>
        </w:tc>
        <w:tc>
          <w:tcPr>
            <w:tcW w:w="6800" w:type="dxa"/>
            <w:tcMar>
              <w:top w:w="110" w:type="dxa"/>
              <w:left w:w="110" w:type="dxa"/>
              <w:bottom w:w="110" w:type="dxa"/>
              <w:right w:w="110" w:type="dxa"/>
            </w:tcMar>
          </w:tcPr>
          <w:p w14:paraId="2749DE7D" w14:textId="77777777" w:rsidR="00AA744C" w:rsidRDefault="005B659B">
            <w:r>
              <w:rPr>
                <w:rFonts w:ascii="Montserrat" w:hAnsi="Montserrat"/>
                <w:color w:val="172033"/>
              </w:rPr>
              <w:t>Missing API-mandatory values should be errors unless an approved source/default exists.</w:t>
            </w:r>
          </w:p>
        </w:tc>
      </w:tr>
    </w:tbl>
    <w:p w14:paraId="291CFD3A" w14:textId="77777777" w:rsidR="00AA744C" w:rsidRDefault="005B659B">
      <w:r>
        <w:rPr>
          <w:rFonts w:ascii="Montserrat" w:hAnsi="Montserrat"/>
        </w:rPr>
        <w:t>Validation status should remain simple: Error blocks processing, Warning needs review, and Pending means a business/default/source decision is still required.</w:t>
      </w:r>
    </w:p>
    <w:p w14:paraId="582B5C9B" w14:textId="77777777" w:rsidR="00AA744C" w:rsidRDefault="005B659B">
      <w:proofErr w:type="gramStart"/>
      <w:r>
        <w:rPr>
          <w:rFonts w:ascii="Montserrat" w:hAnsi="Montserrat"/>
          <w:b/>
          <w:color w:val="4F9FE8"/>
          <w:sz w:val="26"/>
        </w:rPr>
        <w:t>05</w:t>
      </w:r>
      <w:r>
        <w:rPr>
          <w:rFonts w:ascii="Montserrat" w:hAnsi="Montserrat"/>
          <w:b/>
          <w:color w:val="1F4E79"/>
          <w:sz w:val="26"/>
        </w:rPr>
        <w:t xml:space="preserve">  Consolidation</w:t>
      </w:r>
      <w:proofErr w:type="gramEnd"/>
      <w:r>
        <w:rPr>
          <w:rFonts w:ascii="Montserrat" w:hAnsi="Montserrat"/>
          <w:b/>
          <w:color w:val="1F4E79"/>
          <w:sz w:val="26"/>
        </w:rPr>
        <w:t xml:space="preserve"> Approach</w:t>
      </w:r>
    </w:p>
    <w:p w14:paraId="128C8B8A" w14:textId="77777777" w:rsidR="00AA744C" w:rsidRDefault="005B659B">
      <w:r>
        <w:rPr>
          <w:rFonts w:ascii="Montserrat" w:hAnsi="Montserrat"/>
        </w:rPr>
        <w:t>After mapping and validation, goods rows may need to be grouped or split before API processing. The initial grouping should normally consider the parent reference, transport document number and confirmed goods-level keys such as commodity code, description, country of origin and package type.</w:t>
      </w:r>
    </w:p>
    <w:p w14:paraId="34D1EFD2" w14:textId="77777777" w:rsidR="00AA744C" w:rsidRDefault="005B659B">
      <w:r>
        <w:rPr>
          <w:rFonts w:ascii="Montserrat" w:hAnsi="Montserrat"/>
        </w:rPr>
        <w:t xml:space="preserve">The known rule to keep visible is the </w:t>
      </w:r>
      <w:proofErr w:type="gramStart"/>
      <w:r>
        <w:rPr>
          <w:rFonts w:ascii="Montserrat" w:hAnsi="Montserrat"/>
        </w:rPr>
        <w:t>99 goods row</w:t>
      </w:r>
      <w:proofErr w:type="gramEnd"/>
      <w:r>
        <w:rPr>
          <w:rFonts w:ascii="Montserrat" w:hAnsi="Montserrat"/>
        </w:rPr>
        <w:t xml:space="preserve"> limit. If there are more than 99 different goods/items, the data should be split into additional consignments. The quantity on a line does not matter for this rule; the number of different item rows matters.</w:t>
      </w:r>
    </w:p>
    <w:p w14:paraId="74EA1816" w14:textId="77777777" w:rsidR="00AA744C" w:rsidRDefault="005B659B">
      <w:pPr>
        <w:ind w:left="360" w:hanging="180"/>
      </w:pPr>
      <w:r>
        <w:rPr>
          <w:rFonts w:ascii="Montserrat" w:hAnsi="Montserrat"/>
        </w:rPr>
        <w:t>? Calculate totals such as gross mass, net mass, package count and invoice value where relevant.</w:t>
      </w:r>
    </w:p>
    <w:p w14:paraId="53AB0B29" w14:textId="77777777" w:rsidR="00AA744C" w:rsidRDefault="005B659B">
      <w:pPr>
        <w:ind w:left="360" w:hanging="180"/>
      </w:pPr>
      <w:r>
        <w:rPr>
          <w:rFonts w:ascii="Montserrat" w:hAnsi="Montserrat"/>
        </w:rPr>
        <w:t>? Do not merge rows if doing so would lose declaration-relevant information.</w:t>
      </w:r>
    </w:p>
    <w:p w14:paraId="63D817CF" w14:textId="77777777" w:rsidR="00AA744C" w:rsidRDefault="005B659B">
      <w:pPr>
        <w:ind w:left="360" w:hanging="180"/>
      </w:pPr>
      <w:r>
        <w:rPr>
          <w:rFonts w:ascii="Montserrat" w:hAnsi="Montserrat"/>
        </w:rPr>
        <w:t>? Keep original row references so support can trace consolidated output back to the source Excel.</w:t>
      </w:r>
    </w:p>
    <w:p w14:paraId="5CBE0B9A" w14:textId="77777777" w:rsidR="00D634F7" w:rsidRDefault="00D634F7">
      <w:pPr>
        <w:rPr>
          <w:rFonts w:ascii="Montserrat" w:hAnsi="Montserrat"/>
          <w:b/>
          <w:color w:val="4F9FE8"/>
          <w:sz w:val="26"/>
        </w:rPr>
      </w:pPr>
    </w:p>
    <w:p w14:paraId="23CF4942" w14:textId="77777777" w:rsidR="00D634F7" w:rsidRDefault="00D634F7">
      <w:pPr>
        <w:rPr>
          <w:rFonts w:ascii="Montserrat" w:hAnsi="Montserrat"/>
          <w:b/>
          <w:color w:val="4F9FE8"/>
          <w:sz w:val="26"/>
        </w:rPr>
      </w:pPr>
    </w:p>
    <w:p w14:paraId="6D92D216" w14:textId="77777777" w:rsidR="00D634F7" w:rsidRDefault="00D634F7">
      <w:pPr>
        <w:rPr>
          <w:rFonts w:ascii="Montserrat" w:hAnsi="Montserrat"/>
          <w:b/>
          <w:color w:val="4F9FE8"/>
          <w:sz w:val="26"/>
        </w:rPr>
      </w:pPr>
    </w:p>
    <w:p w14:paraId="741639F6" w14:textId="623A31BC" w:rsidR="00AA744C" w:rsidRDefault="005B659B">
      <w:proofErr w:type="gramStart"/>
      <w:r>
        <w:rPr>
          <w:rFonts w:ascii="Montserrat" w:hAnsi="Montserrat"/>
          <w:b/>
          <w:color w:val="4F9FE8"/>
          <w:sz w:val="26"/>
        </w:rPr>
        <w:lastRenderedPageBreak/>
        <w:t>06</w:t>
      </w:r>
      <w:r>
        <w:rPr>
          <w:rFonts w:ascii="Montserrat" w:hAnsi="Montserrat"/>
          <w:b/>
          <w:color w:val="1F4E79"/>
          <w:sz w:val="26"/>
        </w:rPr>
        <w:t xml:space="preserve">  Decisions</w:t>
      </w:r>
      <w:proofErr w:type="gramEnd"/>
      <w:r>
        <w:rPr>
          <w:rFonts w:ascii="Montserrat" w:hAnsi="Montserrat"/>
          <w:b/>
          <w:color w:val="1F4E79"/>
          <w:sz w:val="26"/>
        </w:rPr>
        <w:t xml:space="preserve"> </w:t>
      </w:r>
      <w:proofErr w:type="gramStart"/>
      <w:r>
        <w:rPr>
          <w:rFonts w:ascii="Montserrat" w:hAnsi="Montserrat"/>
          <w:b/>
          <w:color w:val="1F4E79"/>
          <w:sz w:val="26"/>
        </w:rPr>
        <w:t>To</w:t>
      </w:r>
      <w:proofErr w:type="gramEnd"/>
      <w:r>
        <w:rPr>
          <w:rFonts w:ascii="Montserrat" w:hAnsi="Montserrat"/>
          <w:b/>
          <w:color w:val="1F4E79"/>
          <w:sz w:val="26"/>
        </w:rPr>
        <w:t xml:space="preserve"> Confirm</w:t>
      </w:r>
    </w:p>
    <w:p w14:paraId="13BA8370" w14:textId="77777777" w:rsidR="00AA744C" w:rsidRDefault="005B659B">
      <w:r>
        <w:rPr>
          <w:rFonts w:ascii="Montserrat" w:hAnsi="Montserrat"/>
        </w:rPr>
        <w:t>The next phase should confirm the rules that cannot be safely assumed. These are practical decisions that affect mapping, validation and API readiness.</w:t>
      </w:r>
    </w:p>
    <w:p w14:paraId="755116E8" w14:textId="77777777" w:rsidR="00AA744C" w:rsidRDefault="005B659B">
      <w:pPr>
        <w:ind w:left="360" w:hanging="180"/>
      </w:pPr>
      <w:r>
        <w:rPr>
          <w:rFonts w:ascii="Montserrat" w:hAnsi="Montserrat"/>
        </w:rPr>
        <w:t>? Confirm whether the ENS can be created directly through the API from ingested data, so the customer does not need to create it manually in the TSS portal first.</w:t>
      </w:r>
    </w:p>
    <w:p w14:paraId="42E8BD77" w14:textId="77777777" w:rsidR="00AA744C" w:rsidRDefault="005B659B">
      <w:pPr>
        <w:ind w:left="360" w:hanging="180"/>
      </w:pPr>
      <w:r>
        <w:rPr>
          <w:rFonts w:ascii="Montserrat" w:hAnsi="Montserrat"/>
        </w:rPr>
        <w:t>? Confirm final PLE and CW Excel mappings, including every source column and its purpose.</w:t>
      </w:r>
    </w:p>
    <w:p w14:paraId="75B94961" w14:textId="77777777" w:rsidR="00AA744C" w:rsidRDefault="005B659B">
      <w:pPr>
        <w:ind w:left="360" w:hanging="180"/>
      </w:pPr>
      <w:r>
        <w:rPr>
          <w:rFonts w:ascii="Montserrat" w:hAnsi="Montserrat"/>
        </w:rPr>
        <w:t>? Confirm where missing mandatory values come from: Excel, master data, tenant defaults, TSS response or operator input.</w:t>
      </w:r>
    </w:p>
    <w:p w14:paraId="6041158F" w14:textId="77777777" w:rsidR="00AA744C" w:rsidRDefault="005B659B">
      <w:pPr>
        <w:ind w:left="360" w:hanging="180"/>
      </w:pPr>
      <w:r>
        <w:rPr>
          <w:rFonts w:ascii="Montserrat" w:hAnsi="Montserrat"/>
        </w:rPr>
        <w:t>? Confirm tenant defaults such as package marks, controlled goods flag and party EORIs.</w:t>
      </w:r>
    </w:p>
    <w:p w14:paraId="3BE4EA96" w14:textId="77777777" w:rsidR="00AA744C" w:rsidRDefault="005B659B">
      <w:pPr>
        <w:ind w:left="360" w:hanging="180"/>
      </w:pPr>
      <w:r>
        <w:rPr>
          <w:rFonts w:ascii="Montserrat" w:hAnsi="Montserrat"/>
        </w:rPr>
        <w:t>? Confirm final consolidation keys and the naming/reference convention when splitting over 99 goods rows.</w:t>
      </w:r>
    </w:p>
    <w:p w14:paraId="58085BF3" w14:textId="77777777" w:rsidR="00AA744C" w:rsidRDefault="005B659B">
      <w:proofErr w:type="gramStart"/>
      <w:r>
        <w:rPr>
          <w:rFonts w:ascii="Montserrat" w:hAnsi="Montserrat"/>
          <w:b/>
          <w:color w:val="4F9FE8"/>
          <w:sz w:val="26"/>
        </w:rPr>
        <w:t>07</w:t>
      </w:r>
      <w:r>
        <w:rPr>
          <w:rFonts w:ascii="Montserrat" w:hAnsi="Montserrat"/>
          <w:b/>
          <w:color w:val="1F4E79"/>
          <w:sz w:val="26"/>
        </w:rPr>
        <w:t xml:space="preserve">  Summary</w:t>
      </w:r>
      <w:proofErr w:type="gramEnd"/>
    </w:p>
    <w:p w14:paraId="53BC62DA" w14:textId="77777777" w:rsidR="00AA744C" w:rsidRDefault="005B659B">
      <w:r>
        <w:rPr>
          <w:rFonts w:ascii="Montserrat" w:hAnsi="Montserrat"/>
        </w:rPr>
        <w:t>The proposed approach is simple: read customer emails through Graph, save the original files locally for evidence, process the attachment content directly through a tenant-aware parser, map every source column, validate against API rules, consolidate safely and only then prepare data for TSS/API processing.</w:t>
      </w:r>
    </w:p>
    <w:p w14:paraId="7D291C69" w14:textId="77777777" w:rsidR="00AA744C" w:rsidRDefault="005B659B">
      <w:r>
        <w:rPr>
          <w:rFonts w:ascii="Montserrat" w:hAnsi="Montserrat"/>
        </w:rPr>
        <w:t>This gives the team one validation model that can support both automatic email ingestion and manual import.</w:t>
      </w:r>
    </w:p>
    <w:sectPr w:rsidR="00AA744C">
      <w:pgSz w:w="11906" w:h="16838"/>
      <w:pgMar w:top="900" w:right="900" w:bottom="900" w:left="9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44C"/>
    <w:rsid w:val="00184730"/>
    <w:rsid w:val="005B659B"/>
    <w:rsid w:val="00AA744C"/>
    <w:rsid w:val="00D63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8D1F5"/>
  <w15:docId w15:val="{13EA84A8-4E61-4C56-A957-965D280BA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1005</Words>
  <Characters>5565</Characters>
  <Application>Microsoft Office Word</Application>
  <DocSecurity>0</DocSecurity>
  <Lines>136</Lines>
  <Paragraphs>67</Paragraphs>
  <ScaleCrop>false</ScaleCrop>
  <Company/>
  <LinksUpToDate>false</LinksUpToDate>
  <CharactersWithSpaces>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Alvaro Molina</cp:lastModifiedBy>
  <cp:revision>2</cp:revision>
  <dcterms:created xsi:type="dcterms:W3CDTF">2026-06-23T11:05:00Z</dcterms:created>
  <dcterms:modified xsi:type="dcterms:W3CDTF">2026-06-23T11:07:00Z</dcterms:modified>
</cp:coreProperties>
</file>