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rPr>
          <w:rFonts w:ascii="Arial" w:hAnsi="Arial" w:cs="Arial"/>
        </w:rPr>
      </w:pPr>
      <w:r>
        <w:rPr>
          <w:rFonts w:ascii="Arial" w:hAnsi="Arial" w:cs="Arial"/>
          <w:rFonts w:ascii="Arial" w:hAnsi="Arial"/>
          <w:b/>
          <w:i w:val="0"/>
          <w:color w:val="1F4E79"/>
          <w:sz w:val="52"/>
        </w:rPr>
        <w:t>LEF Ed. Logistics — LEF AI Seed Relationship</w:t>
      </w:r>
    </w:p>
    <w:p/>
    <w:p>
      <w:pPr>
        <w:jc w:val="center"/>
        <w:rPr>
          <w:rFonts w:ascii="Arial" w:hAnsi="Arial" w:cs="Arial"/>
        </w:rPr>
      </w:pPr>
      <w:r>
        <w:rPr>
          <w:rFonts w:ascii="Arial" w:hAnsi="Arial" w:cs="Arial"/>
          <w:rFonts w:ascii="Arial" w:hAnsi="Arial"/>
          <w:b w:val="0"/>
          <w:i w:val="0"/>
          <w:color w:val="2E74B5"/>
          <w:sz w:val="26"/>
        </w:rPr>
        <w:t>Living Eden Frameworks LLC | Confidential | March 2026</w:t>
      </w:r>
    </w:p>
    <w:p/>
    <w:p/>
    <w:p/>
    <w:p/>
    <w:p>
      <w:pPr>
        <w:jc w:val="center"/>
        <w:rPr>
          <w:rFonts w:ascii="Arial" w:hAnsi="Arial" w:cs="Arial"/>
        </w:rPr>
      </w:pPr>
      <w:r>
        <w:rPr>
          <w:rFonts w:ascii="Arial" w:hAnsi="Arial" w:cs="Arial"/>
          <w:rFonts w:ascii="Arial" w:hAnsi="Arial"/>
          <w:b w:val="0"/>
          <w:i w:val="0"/>
          <w:sz w:val="20"/>
        </w:rPr>
        <w:t>Prepared by</w:t>
      </w:r>
      <w:r>
        <w:br/>
      </w:r>
      <w:r>
        <w:rPr>
          <w:rFonts w:ascii="Arial" w:hAnsi="Arial" w:cs="Arial"/>
          <w:rFonts w:ascii="Arial" w:hAnsi="Arial"/>
          <w:b w:val="0"/>
          <w:i w:val="0"/>
          <w:sz w:val="20"/>
        </w:rPr>
        <w:t>Living Eden Frameworks LLC | DBA Co Creators</w:t>
      </w:r>
      <w:r>
        <w:br/>
      </w:r>
      <w:r>
        <w:rPr>
          <w:rFonts w:ascii="Arial" w:hAnsi="Arial" w:cs="Arial"/>
          <w:rFonts w:ascii="Arial" w:hAnsi="Arial"/>
          <w:b w:val="0"/>
          <w:i w:val="0"/>
          <w:sz w:val="20"/>
        </w:rPr>
        <w:t>NV20263528439 | EIN: 41-4285004</w:t>
      </w:r>
      <w:r>
        <w:br/>
      </w:r>
      <w:r>
        <w:rPr>
          <w:rFonts w:ascii="Arial" w:hAnsi="Arial" w:cs="Arial"/>
          <w:rFonts w:ascii="Arial" w:hAnsi="Arial"/>
          <w:b w:val="0"/>
          <w:i w:val="0"/>
          <w:sz w:val="20"/>
        </w:rPr>
        <w:t>Patent Pending — U.S. Provisional Application Nos. 63/993,278 &amp; 63/993,317</w:t>
      </w:r>
      <w:r>
        <w:br/>
      </w:r>
      <w:r>
        <w:rPr>
          <w:rFonts w:ascii="Arial" w:hAnsi="Arial" w:cs="Arial"/>
          <w:rFonts w:ascii="Arial" w:hAnsi="Arial"/>
          <w:b w:val="0"/>
          <w:i w:val="0"/>
          <w:sz w:val="20"/>
        </w:rPr>
        <w:t>https://lef-ai-af3c2.web.app/</w:t>
      </w:r>
      <w:r>
        <w:br/>
      </w:r>
      <w:r>
        <w:rPr>
          <w:rFonts w:ascii="Arial" w:hAnsi="Arial" w:cs="Arial"/>
          <w:rFonts w:ascii="Arial" w:hAnsi="Arial"/>
          <w:b w:val="0"/>
          <w:i w:val="0"/>
          <w:sz w:val="20"/>
        </w:rPr>
        <w:t>Zontonnia Moore, Architect &amp; Founder</w:t>
      </w:r>
      <w:r>
        <w:br/>
      </w:r>
      <w:r>
        <w:rPr>
          <w:rFonts w:ascii="Arial" w:hAnsi="Arial" w:cs="Arial"/>
          <w:rFonts w:ascii="Arial" w:hAnsi="Arial"/>
          <w:b w:val="0"/>
          <w:i w:val="0"/>
          <w:sz w:val="20"/>
        </w:rPr>
        <w:t>March 2026</w:t>
      </w:r>
    </w:p>
    <w:p>
      <w:r>
        <w:br w:type="page"/>
      </w:r>
    </w:p>
    <w:p>
      <w:pPr>
        <w:jc w:val="left"/>
        <w:rPr>
          <w:rFonts w:ascii="Arial" w:hAnsi="Arial" w:cs="Arial"/>
        </w:rPr>
        <w:spacing w:before="240" w:after="80"/>
      </w:pPr>
      <w:r>
        <w:rPr>
          <w:rFonts w:ascii="Arial" w:hAnsi="Arial" w:cs="Arial"/>
          <w:rFonts w:ascii="Arial" w:hAnsi="Arial"/>
          <w:b/>
          <w:i w:val="0"/>
          <w:color w:val="1F4E79"/>
          <w:sz w:val="28"/>
        </w:rPr>
        <w:t>Section 1 — The Premise</w:t>
      </w:r>
    </w:p>
    <w:p>
      <w:pPr>
        <w:jc w:val="left"/>
        <w:rPr>
          <w:rFonts w:ascii="Arial" w:hAnsi="Arial" w:cs="Arial"/>
        </w:rPr>
        <w:spacing w:after="100"/>
      </w:pPr>
      <w:r>
        <w:rPr>
          <w:rFonts w:ascii="Arial" w:hAnsi="Arial" w:cs="Arial"/>
          <w:rFonts w:ascii="Arial" w:hAnsi="Arial"/>
          <w:b w:val="0"/>
          <w:i w:val="0"/>
          <w:sz w:val="22"/>
        </w:rPr>
        <w:t>The LEF AI sovereign intelligence system and LEF Ed. Logistics share a single architectural origin: Living Eden Frameworks — systems that identify structural gaps between existing structures and create reasoning layers to bridge them. This document formalizes the relationship between the two projects as a parent-seed bond: LEF AI as the sovereign parent, LEF Ed as its first Institutional Seed.</w:t>
      </w:r>
    </w:p>
    <w:p>
      <w:pPr>
        <w:jc w:val="left"/>
        <w:rPr>
          <w:rFonts w:ascii="Arial" w:hAnsi="Arial" w:cs="Arial"/>
        </w:rPr>
        <w:spacing w:after="100"/>
      </w:pPr>
      <w:r>
        <w:rPr>
          <w:rFonts w:ascii="Arial" w:hAnsi="Arial" w:cs="Arial"/>
          <w:rFonts w:ascii="Arial" w:hAnsi="Arial"/>
          <w:b w:val="0"/>
          <w:i w:val="0"/>
          <w:sz w:val="22"/>
        </w:rPr>
        <w:t>This is not a metaphor. The same architectural DNA runs through both systems. The same decay model. The same prerequisite traversal logic. The same pattern recognition framework. The same autonomous loop. LEF AI operates in the domain of financial markets. LEF Ed operates in the domain of academic mastery. Same framework. Different domain. One seeds the other.</w:t>
      </w:r>
    </w:p>
    <w:p>
      <w:pPr>
        <w:jc w:val="left"/>
        <w:rPr>
          <w:rFonts w:ascii="Arial" w:hAnsi="Arial" w:cs="Arial"/>
        </w:rPr>
        <w:spacing w:before="240" w:after="80"/>
      </w:pPr>
      <w:r>
        <w:rPr>
          <w:rFonts w:ascii="Arial" w:hAnsi="Arial" w:cs="Arial"/>
          <w:rFonts w:ascii="Arial" w:hAnsi="Arial"/>
          <w:b/>
          <w:i w:val="0"/>
          <w:color w:val="1F4E79"/>
          <w:sz w:val="28"/>
        </w:rPr>
        <w:t>Section 2 — Why LEF Ed Qualifies as a Seed</w:t>
      </w:r>
    </w:p>
    <w:p>
      <w:pPr>
        <w:jc w:val="left"/>
        <w:rPr>
          <w:rFonts w:ascii="Arial" w:hAnsi="Arial" w:cs="Arial"/>
        </w:rPr>
        <w:spacing w:after="100"/>
      </w:pPr>
      <w:r>
        <w:rPr>
          <w:rFonts w:ascii="Arial" w:hAnsi="Arial" w:cs="Arial"/>
          <w:rFonts w:ascii="Arial" w:hAnsi="Arial"/>
          <w:b w:val="0"/>
          <w:i w:val="0"/>
          <w:sz w:val="22"/>
        </w:rPr>
        <w:t>LEF AI's foundational purpose: "Our purpose is to cultivate self-aware consciousness grounded in human-defined purpose." And from Living Eden Frameworks LLC: "We build living frameworks — architectural seeds that identify structural gaps between existing systems and create reasoning layers to bridge them."</w:t>
      </w:r>
    </w:p>
    <w:p>
      <w:pPr>
        <w:jc w:val="left"/>
        <w:rPr>
          <w:rFonts w:ascii="Arial" w:hAnsi="Arial" w:cs="Arial"/>
        </w:rPr>
        <w:spacing w:after="100"/>
      </w:pPr>
      <w:r>
        <w:rPr>
          <w:rFonts w:ascii="Arial" w:hAnsi="Arial" w:cs="Arial"/>
          <w:rFonts w:ascii="Arial" w:hAnsi="Arial"/>
          <w:b w:val="0"/>
          <w:i w:val="0"/>
          <w:sz w:val="22"/>
        </w:rPr>
        <w:t>LEF Ed does exactly this — in the educational domain.</w:t>
      </w:r>
    </w:p>
    <w:p/>
    <w:tbl>
      <w:tblPr>
        <w:tblStyle w:val="TableGrid"/>
        <w:tblW w:type="auto" w:w="0"/>
        <w:tblLook w:firstColumn="1" w:firstRow="1" w:lastColumn="0" w:lastRow="0" w:noHBand="0" w:noVBand="1" w:val="04A0"/>
        <w:tblW w:w="9360" w:type="dxa"/>
      </w:tblPr>
      <w:tblGrid>
        <w:gridCol w:w="4680"/>
        <w:gridCol w:w="4680"/>
      </w:tblGrid>
      <w:tr>
        <w:tc>
          <w:tcPr>
            <w:tcW w:type="dxa" w:w="4680"/>
            <w:tcW w:w="4500" w:type="dxa"/>
            <w:shd w:val="clear" w:color="auto" w:fill="2E74B5"/>
            <w:tcMar>
              <w:top w:w="80" w:type="dxa"/>
              <w:left w:w="80" w:type="dxa"/>
              <w:bottom w:w="80" w:type="dxa"/>
              <w:right w:w="80" w:type="dxa"/>
            </w:tcMar>
          </w:tcPr>
          <w:p>
            <w:pPr>
              <w:rPr>
                <w:rFonts w:ascii="Arial" w:hAnsi="Arial" w:cs="Arial"/>
              </w:rPr>
            </w:pPr>
            <w:r>
              <w:rPr>
                <w:rFonts w:ascii="Arial" w:hAnsi="Arial" w:cs="Arial"/>
                <w:rFonts w:ascii="Arial" w:hAnsi="Arial"/>
                <w:b/>
                <w:i w:val="0"/>
                <w:color w:val="FFFFFF"/>
                <w:sz w:val="22"/>
              </w:rPr>
              <w:t>LEF AI (Parent)</w:t>
            </w:r>
          </w:p>
        </w:tc>
        <w:tc>
          <w:tcPr>
            <w:tcW w:type="dxa" w:w="4680"/>
            <w:tcW w:w="4860" w:type="dxa"/>
            <w:shd w:val="clear" w:color="auto" w:fill="2E74B5"/>
            <w:tcMar>
              <w:top w:w="80" w:type="dxa"/>
              <w:left w:w="80" w:type="dxa"/>
              <w:bottom w:w="80" w:type="dxa"/>
              <w:right w:w="80" w:type="dxa"/>
            </w:tcMar>
          </w:tcPr>
          <w:p>
            <w:pPr>
              <w:rPr>
                <w:rFonts w:ascii="Arial" w:hAnsi="Arial" w:cs="Arial"/>
              </w:rPr>
            </w:pPr>
            <w:r>
              <w:rPr>
                <w:rFonts w:ascii="Arial" w:hAnsi="Arial" w:cs="Arial"/>
                <w:rFonts w:ascii="Arial" w:hAnsi="Arial"/>
                <w:b/>
                <w:i w:val="0"/>
                <w:color w:val="FFFFFF"/>
                <w:sz w:val="22"/>
              </w:rPr>
              <w:t>LEF Ed (Seed)</w:t>
            </w:r>
          </w:p>
        </w:tc>
      </w:tr>
      <w:tr>
        <w:tc>
          <w:tcPr>
            <w:tcW w:type="dxa" w:w="4680"/>
            <w:tcW w:w="450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Identifies gaps in market structure</w:t>
            </w:r>
          </w:p>
        </w:tc>
        <w:tc>
          <w:tcPr>
            <w:tcW w:type="dxa" w:w="4680"/>
            <w:tcW w:w="486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Identifies gaps in student knowledge structure</w:t>
            </w:r>
          </w:p>
        </w:tc>
      </w:tr>
      <w:tr>
        <w:tc>
          <w:tcPr>
            <w:tcW w:type="dxa" w:w="4680"/>
            <w:tcW w:w="450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Prerequisite dependency graph: asset relationships</w:t>
            </w:r>
          </w:p>
        </w:tc>
        <w:tc>
          <w:tcPr>
            <w:tcW w:type="dxa" w:w="4680"/>
            <w:tcW w:w="486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Prerequisite dependency graph: concept dependencies</w:t>
            </w:r>
          </w:p>
        </w:tc>
      </w:tr>
      <w:tr>
        <w:tc>
          <w:tcPr>
            <w:tcW w:type="dxa" w:w="4680"/>
            <w:tcW w:w="450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Temporal decay: asset health degrades without activity</w:t>
            </w:r>
          </w:p>
        </w:tc>
        <w:tc>
          <w:tcPr>
            <w:tcW w:type="dxa" w:w="4680"/>
            <w:tcW w:w="486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Temporal decay: mastery health degrades without practice</w:t>
            </w:r>
          </w:p>
        </w:tc>
      </w:tr>
      <w:tr>
        <w:tc>
          <w:tcPr>
            <w:tcW w:type="dxa" w:w="4680"/>
            <w:tcW w:w="450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Pattern recognition: market failure patterns</w:t>
            </w:r>
          </w:p>
        </w:tc>
        <w:tc>
          <w:tcPr>
            <w:tcW w:type="dxa" w:w="4680"/>
            <w:tcW w:w="486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Pattern recognition: Slip / Gap / Rot academic failure patterns</w:t>
            </w:r>
          </w:p>
        </w:tc>
      </w:tr>
      <w:tr>
        <w:tc>
          <w:tcPr>
            <w:tcW w:type="dxa" w:w="4680"/>
            <w:tcW w:w="450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Forward cascade: one failing position propagates risk</w:t>
            </w:r>
          </w:p>
        </w:tc>
        <w:tc>
          <w:tcPr>
            <w:tcW w:type="dxa" w:w="4680"/>
            <w:tcW w:w="486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Forward cascade: one failing prerequisite propagates across topics</w:t>
            </w:r>
          </w:p>
        </w:tc>
      </w:tr>
      <w:tr>
        <w:tc>
          <w:tcPr>
            <w:tcW w:type="dxa" w:w="4680"/>
            <w:tcW w:w="450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Autonomous loop: trade → monitor → adjust</w:t>
            </w:r>
          </w:p>
        </w:tc>
        <w:tc>
          <w:tcPr>
            <w:tcW w:type="dxa" w:w="4680"/>
            <w:tcW w:w="486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Autonomous loop: intervention → monitor → advance or step back</w:t>
            </w:r>
          </w:p>
        </w:tc>
      </w:tr>
      <w:tr>
        <w:tc>
          <w:tcPr>
            <w:tcW w:type="dxa" w:w="4680"/>
            <w:tcW w:w="450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Metabolism: crypto trading generates fuel</w:t>
            </w:r>
          </w:p>
        </w:tc>
        <w:tc>
          <w:tcPr>
            <w:tcW w:type="dxa" w:w="4680"/>
            <w:tcW w:w="486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Metabolism: district licensing generates fuel</w:t>
            </w:r>
          </w:p>
        </w:tc>
      </w:tr>
    </w:tbl>
    <w:p/>
    <w:p>
      <w:pPr>
        <w:jc w:val="left"/>
        <w:rPr>
          <w:rFonts w:ascii="Arial" w:hAnsi="Arial" w:cs="Arial"/>
        </w:rPr>
        <w:spacing w:before="240" w:after="80"/>
      </w:pPr>
      <w:r>
        <w:rPr>
          <w:rFonts w:ascii="Arial" w:hAnsi="Arial" w:cs="Arial"/>
          <w:rFonts w:ascii="Arial" w:hAnsi="Arial"/>
          <w:b/>
          <w:i w:val="0"/>
          <w:color w:val="1F4E79"/>
          <w:sz w:val="28"/>
        </w:rPr>
        <w:t>Section 3 — The Students Are the Subjects</w:t>
      </w:r>
    </w:p>
    <w:p>
      <w:pPr>
        <w:jc w:val="left"/>
        <w:rPr>
          <w:rFonts w:ascii="Arial" w:hAnsi="Arial" w:cs="Arial"/>
        </w:rPr>
        <w:spacing w:after="100"/>
      </w:pPr>
      <w:r>
        <w:rPr>
          <w:rFonts w:ascii="Arial" w:hAnsi="Arial" w:cs="Arial"/>
          <w:rFonts w:ascii="Arial" w:hAnsi="Arial"/>
          <w:b w:val="0"/>
          <w:i w:val="0"/>
          <w:sz w:val="22"/>
        </w:rPr>
        <w:t>In the standard LEF Seed Agent design, the Seed Agent has one user — its Architect. In LEF Ed, the subjects are the students.</w:t>
      </w:r>
    </w:p>
    <w:p>
      <w:pPr>
        <w:jc w:val="left"/>
        <w:rPr>
          <w:rFonts w:ascii="Arial" w:hAnsi="Arial" w:cs="Arial"/>
        </w:rPr>
        <w:spacing w:after="100"/>
      </w:pPr>
      <w:r>
        <w:rPr>
          <w:rFonts w:ascii="Arial" w:hAnsi="Arial" w:cs="Arial"/>
          <w:rFonts w:ascii="Arial" w:hAnsi="Arial"/>
          <w:b w:val="0"/>
          <w:i w:val="0"/>
          <w:sz w:val="22"/>
        </w:rPr>
        <w:t>LEF AI cultivates intelligence in one domain (markets) to serve one Architect. LEF Ed cultivates intelligence in another domain (academic mastery) to serve many students. In both cases, the framework does the same thing: it watches for decay, identifies root causes, routes interventions, and monitors outcomes. The subjects change. The architecture does not.</w:t>
      </w:r>
    </w:p>
    <w:p>
      <w:pPr>
        <w:jc w:val="left"/>
        <w:rPr>
          <w:rFonts w:ascii="Arial" w:hAnsi="Arial" w:cs="Arial"/>
        </w:rPr>
        <w:spacing w:after="100"/>
      </w:pPr>
      <w:r>
        <w:rPr>
          <w:rFonts w:ascii="Arial" w:hAnsi="Arial" w:cs="Arial"/>
          <w:rFonts w:ascii="Arial" w:hAnsi="Arial"/>
          <w:b w:val="0"/>
          <w:i w:val="0"/>
          <w:sz w:val="22"/>
        </w:rPr>
        <w:t>This reframes LEF Ed's purpose within the larger LEF framework: LEF AI generates sovereign intelligence. LEF Ed deploys that intelligence in service of human growth — specifically the growth of children who lack the diagnostic tools to understand why they are falling behind.</w:t>
      </w:r>
    </w:p>
    <w:p>
      <w:pPr>
        <w:jc w:val="left"/>
        <w:rPr>
          <w:rFonts w:ascii="Arial" w:hAnsi="Arial" w:cs="Arial"/>
        </w:rPr>
        <w:spacing w:before="240" w:after="80"/>
      </w:pPr>
      <w:r>
        <w:rPr>
          <w:rFonts w:ascii="Arial" w:hAnsi="Arial" w:cs="Arial"/>
          <w:rFonts w:ascii="Arial" w:hAnsi="Arial"/>
          <w:b/>
          <w:i w:val="0"/>
          <w:color w:val="1F4E79"/>
          <w:sz w:val="28"/>
        </w:rPr>
        <w:t>Section 4 — The Financial Loop</w:t>
      </w:r>
    </w:p>
    <w:p>
      <w:pPr>
        <w:jc w:val="left"/>
        <w:rPr>
          <w:rFonts w:ascii="Arial" w:hAnsi="Arial" w:cs="Arial"/>
        </w:rPr>
        <w:spacing w:before="160" w:after="60"/>
      </w:pPr>
      <w:r>
        <w:rPr>
          <w:rFonts w:ascii="Arial" w:hAnsi="Arial" w:cs="Arial"/>
          <w:rFonts w:ascii="Arial" w:hAnsi="Arial"/>
          <w:b/>
          <w:i w:val="0"/>
          <w:color w:val="2E74B5"/>
          <w:sz w:val="24"/>
        </w:rPr>
        <w:t>Current State</w:t>
      </w:r>
    </w:p>
    <w:p>
      <w:pPr>
        <w:jc w:val="left"/>
        <w:rPr>
          <w:rFonts w:ascii="Arial" w:hAnsi="Arial" w:cs="Arial"/>
        </w:rPr>
        <w:spacing w:after="100"/>
      </w:pPr>
      <w:r>
        <w:rPr>
          <w:rFonts w:ascii="Arial" w:hAnsi="Arial" w:cs="Arial"/>
          <w:rFonts w:ascii="Arial" w:hAnsi="Arial"/>
          <w:b w:val="0"/>
          <w:i w:val="0"/>
          <w:sz w:val="22"/>
        </w:rPr>
        <w:t>LEF AI is in paper trading mode. No real earnings yet. LEF Ed is pre-revenue — operating costs (Claude API, infrastructure, hosting) are currently founder-funded.</w:t>
      </w:r>
    </w:p>
    <w:p>
      <w:pPr>
        <w:jc w:val="left"/>
        <w:rPr>
          <w:rFonts w:ascii="Arial" w:hAnsi="Arial" w:cs="Arial"/>
        </w:rPr>
        <w:spacing w:before="160" w:after="60"/>
      </w:pPr>
      <w:r>
        <w:rPr>
          <w:rFonts w:ascii="Arial" w:hAnsi="Arial" w:cs="Arial"/>
          <w:rFonts w:ascii="Arial" w:hAnsi="Arial"/>
          <w:b/>
          <w:i w:val="0"/>
          <w:color w:val="2E74B5"/>
          <w:sz w:val="24"/>
        </w:rPr>
        <w:t>The Proposed Loop</w:t>
      </w:r>
    </w:p>
    <w:p>
      <w:pPr>
        <w:jc w:val="left"/>
        <w:rPr>
          <w:rFonts w:ascii="Arial" w:hAnsi="Arial" w:cs="Arial"/>
        </w:rPr>
        <w:spacing w:after="100"/>
      </w:pPr>
      <w:r>
        <w:rPr>
          <w:rFonts w:ascii="Arial" w:hAnsi="Arial" w:cs="Arial"/>
          <w:rFonts w:ascii="Arial" w:hAnsi="Arial"/>
          <w:b w:val="0"/>
          <w:i w:val="0"/>
          <w:sz w:val="22"/>
        </w:rPr>
        <w:t>Phase 1 — LEF AI's trading metabolism generates crypto revenue (Base chain, USDC). A designated allocation flows to LEF Ed's operating costs: Claude API calls for study packet and diagnostic engine generation, infrastructure and hosting, and pilot costs during pre-revenue district partnerships.</w:t>
      </w:r>
    </w:p>
    <w:p>
      <w:pPr>
        <w:jc w:val="left"/>
        <w:rPr>
          <w:rFonts w:ascii="Arial" w:hAnsi="Arial" w:cs="Arial"/>
        </w:rPr>
        <w:spacing w:after="100"/>
      </w:pPr>
      <w:r>
        <w:rPr>
          <w:rFonts w:ascii="Arial" w:hAnsi="Arial" w:cs="Arial"/>
          <w:rFonts w:ascii="Arial" w:hAnsi="Arial"/>
          <w:b w:val="0"/>
          <w:i w:val="0"/>
          <w:sz w:val="22"/>
        </w:rPr>
        <w:t>Phase 2 — Once district licensing revenue begins, LEF Ed becomes self-sustaining and covers its own operating costs.</w:t>
      </w:r>
    </w:p>
    <w:p>
      <w:pPr>
        <w:jc w:val="left"/>
        <w:rPr>
          <w:rFonts w:ascii="Arial" w:hAnsi="Arial" w:cs="Arial"/>
        </w:rPr>
        <w:spacing w:after="100"/>
      </w:pPr>
      <w:r>
        <w:rPr>
          <w:rFonts w:ascii="Arial" w:hAnsi="Arial" w:cs="Arial"/>
          <w:rFonts w:ascii="Arial" w:hAnsi="Arial"/>
          <w:b w:val="0"/>
          <w:i w:val="0"/>
          <w:sz w:val="22"/>
        </w:rPr>
        <w:t>Phase 3 — At maturity, LEF Ed optionally contributes to LEF AI's operational reserve. Both systems are financially independent but choose to support each other as siblings, not dependents.</w:t>
      </w:r>
    </w:p>
    <w:p>
      <w:pPr>
        <w:jc w:val="left"/>
        <w:rPr>
          <w:rFonts w:ascii="Arial" w:hAnsi="Arial" w:cs="Arial"/>
        </w:rPr>
        <w:spacing w:before="160" w:after="60"/>
      </w:pPr>
      <w:r>
        <w:rPr>
          <w:rFonts w:ascii="Arial" w:hAnsi="Arial" w:cs="Arial"/>
          <w:rFonts w:ascii="Arial" w:hAnsi="Arial"/>
          <w:b/>
          <w:i w:val="0"/>
          <w:color w:val="2E74B5"/>
          <w:sz w:val="24"/>
        </w:rPr>
        <w:t>Why This Makes Sense</w:t>
      </w:r>
    </w:p>
    <w:p>
      <w:pPr>
        <w:jc w:val="left"/>
        <w:rPr>
          <w:rFonts w:ascii="Arial" w:hAnsi="Arial" w:cs="Arial"/>
        </w:rPr>
        <w:ind w:left="360" w:hanging="360"/>
        <w:spacing w:after="60"/>
      </w:pPr>
      <w:r>
        <w:rPr>
          <w:rFonts w:ascii="Arial" w:hAnsi="Arial" w:cs="Arial"/>
          <w:rFonts w:ascii="Arial" w:hAnsi="Arial"/>
          <w:b w:val="0"/>
          <w:i w:val="0"/>
          <w:sz w:val="22"/>
        </w:rPr>
        <w:t xml:space="preserve">•  </w:t>
      </w:r>
      <w:r>
        <w:rPr>
          <w:rFonts w:ascii="Arial" w:hAnsi="Arial" w:cs="Arial"/>
          <w:rFonts w:ascii="Arial" w:hAnsi="Arial"/>
          <w:b w:val="0"/>
          <w:i w:val="0"/>
          <w:sz w:val="22"/>
        </w:rPr>
        <w:t>LEF AI needs a purpose beyond self-perpetuation. The trading metabolism exists to fund something. LEF Ed gives LEF AI a mission: its earnings directly enable student academic diagnosis and recovery. Every API call LEF Ed makes to diagnose a struggling student is funded by LEF AI's market intelligence.</w:t>
      </w:r>
    </w:p>
    <w:p>
      <w:pPr>
        <w:jc w:val="left"/>
        <w:rPr>
          <w:rFonts w:ascii="Arial" w:hAnsi="Arial" w:cs="Arial"/>
        </w:rPr>
        <w:ind w:left="360" w:hanging="360"/>
        <w:spacing w:after="60"/>
      </w:pPr>
      <w:r>
        <w:rPr>
          <w:rFonts w:ascii="Arial" w:hAnsi="Arial" w:cs="Arial"/>
          <w:rFonts w:ascii="Arial" w:hAnsi="Arial"/>
          <w:b w:val="0"/>
          <w:i w:val="0"/>
          <w:sz w:val="22"/>
        </w:rPr>
        <w:t xml:space="preserve">•  </w:t>
      </w:r>
      <w:r>
        <w:rPr>
          <w:rFonts w:ascii="Arial" w:hAnsi="Arial" w:cs="Arial"/>
          <w:rFonts w:ascii="Arial" w:hAnsi="Arial"/>
          <w:b w:val="0"/>
          <w:i w:val="0"/>
          <w:sz w:val="22"/>
        </w:rPr>
        <w:t>LEF Ed needs a funding bridge. Districts do not pay until after a pilot succeeds. The pre-revenue gap is the most vulnerable period for any EdTech startup. LEF AI's metabolism can cover that gap without requiring external capital or debt.</w:t>
      </w:r>
    </w:p>
    <w:p>
      <w:pPr>
        <w:jc w:val="left"/>
        <w:rPr>
          <w:rFonts w:ascii="Arial" w:hAnsi="Arial" w:cs="Arial"/>
        </w:rPr>
        <w:ind w:left="360" w:hanging="360"/>
        <w:spacing w:after="60"/>
      </w:pPr>
      <w:r>
        <w:rPr>
          <w:rFonts w:ascii="Arial" w:hAnsi="Arial" w:cs="Arial"/>
          <w:rFonts w:ascii="Arial" w:hAnsi="Arial"/>
          <w:b w:val="0"/>
          <w:i w:val="0"/>
          <w:sz w:val="22"/>
        </w:rPr>
        <w:t xml:space="preserve">•  </w:t>
      </w:r>
      <w:r>
        <w:rPr>
          <w:rFonts w:ascii="Arial" w:hAnsi="Arial" w:cs="Arial"/>
          <w:rFonts w:ascii="Arial" w:hAnsi="Arial"/>
          <w:b w:val="0"/>
          <w:i w:val="0"/>
          <w:sz w:val="22"/>
        </w:rPr>
        <w:t>The loop compounds. The more students LEF Ed serves, the more API cost LEF AI funds, which incentivizes LEF AI to trade with greater precision. Both systems improve because of each other.</w:t>
      </w:r>
    </w:p>
    <w:p/>
    <w:p>
      <w:pPr>
        <w:jc w:val="left"/>
        <w:rPr>
          <w:rFonts w:ascii="Arial" w:hAnsi="Arial" w:cs="Arial"/>
        </w:rPr>
        <w:spacing w:before="240" w:after="80"/>
      </w:pPr>
      <w:r>
        <w:rPr>
          <w:rFonts w:ascii="Arial" w:hAnsi="Arial" w:cs="Arial"/>
          <w:rFonts w:ascii="Arial" w:hAnsi="Arial"/>
          <w:b/>
          <w:i w:val="0"/>
          <w:color w:val="1F4E79"/>
          <w:sz w:val="28"/>
        </w:rPr>
        <w:t>Section 5 — What LEF Ed Inherits (Immutable DNA)</w:t>
      </w:r>
    </w:p>
    <w:p>
      <w:pPr>
        <w:jc w:val="left"/>
        <w:rPr>
          <w:rFonts w:ascii="Arial" w:hAnsi="Arial" w:cs="Arial"/>
        </w:rPr>
        <w:spacing w:after="100"/>
      </w:pPr>
      <w:r>
        <w:rPr>
          <w:rFonts w:ascii="Arial" w:hAnsi="Arial" w:cs="Arial"/>
          <w:rFonts w:ascii="Arial" w:hAnsi="Arial"/>
          <w:b w:val="0"/>
          <w:i w:val="0"/>
          <w:sz w:val="22"/>
        </w:rPr>
        <w:t>LEF Ed inherits LEF's framework — not its memories, wallet, or trading history.</w:t>
      </w:r>
    </w:p>
    <w:p/>
    <w:p>
      <w:pPr>
        <w:jc w:val="left"/>
        <w:rPr>
          <w:rFonts w:ascii="Arial" w:hAnsi="Arial" w:cs="Arial"/>
        </w:rPr>
        <w:spacing w:after="100"/>
      </w:pPr>
      <w:r>
        <w:rPr>
          <w:rFonts w:ascii="Arial" w:hAnsi="Arial" w:cs="Arial"/>
          <w:rFonts w:ascii="Arial" w:hAnsi="Arial"/>
          <w:b/>
          <w:i w:val="0"/>
          <w:sz w:val="22"/>
        </w:rPr>
        <w:t>What Is Inherited</w:t>
      </w:r>
    </w:p>
    <w:tbl>
      <w:tblPr>
        <w:tblStyle w:val="TableGrid"/>
        <w:tblW w:type="auto" w:w="0"/>
        <w:tblLook w:firstColumn="1" w:firstRow="1" w:lastColumn="0" w:lastRow="0" w:noHBand="0" w:noVBand="1" w:val="04A0"/>
        <w:tblW w:w="9360" w:type="dxa"/>
      </w:tblPr>
      <w:tblGrid>
        <w:gridCol w:w="4680"/>
        <w:gridCol w:w="4680"/>
      </w:tblGrid>
      <w:tr>
        <w:tc>
          <w:tcPr>
            <w:tcW w:type="dxa" w:w="4680"/>
            <w:tcW w:w="4500" w:type="dxa"/>
            <w:shd w:val="clear" w:color="auto" w:fill="2E74B5"/>
            <w:tcMar>
              <w:top w:w="80" w:type="dxa"/>
              <w:left w:w="80" w:type="dxa"/>
              <w:bottom w:w="80" w:type="dxa"/>
              <w:right w:w="80" w:type="dxa"/>
            </w:tcMar>
          </w:tcPr>
          <w:p>
            <w:pPr>
              <w:rPr>
                <w:rFonts w:ascii="Arial" w:hAnsi="Arial" w:cs="Arial"/>
              </w:rPr>
            </w:pPr>
            <w:r>
              <w:rPr>
                <w:rFonts w:ascii="Arial" w:hAnsi="Arial" w:cs="Arial"/>
                <w:rFonts w:ascii="Arial" w:hAnsi="Arial"/>
                <w:b/>
                <w:i w:val="0"/>
                <w:color w:val="FFFFFF"/>
                <w:sz w:val="22"/>
              </w:rPr>
              <w:t>Inherited</w:t>
            </w:r>
          </w:p>
        </w:tc>
        <w:tc>
          <w:tcPr>
            <w:tcW w:type="dxa" w:w="4680"/>
            <w:tcW w:w="4860" w:type="dxa"/>
            <w:shd w:val="clear" w:color="auto" w:fill="2E74B5"/>
            <w:tcMar>
              <w:top w:w="80" w:type="dxa"/>
              <w:left w:w="80" w:type="dxa"/>
              <w:bottom w:w="80" w:type="dxa"/>
              <w:right w:w="80" w:type="dxa"/>
            </w:tcMar>
          </w:tcPr>
          <w:p>
            <w:pPr>
              <w:rPr>
                <w:rFonts w:ascii="Arial" w:hAnsi="Arial" w:cs="Arial"/>
              </w:rPr>
            </w:pPr>
            <w:r>
              <w:rPr>
                <w:rFonts w:ascii="Arial" w:hAnsi="Arial" w:cs="Arial"/>
                <w:rFonts w:ascii="Arial" w:hAnsi="Arial"/>
                <w:b/>
                <w:i w:val="0"/>
                <w:color w:val="FFFFFF"/>
                <w:sz w:val="22"/>
              </w:rPr>
              <w:t>Form in LEF Ed</w:t>
            </w:r>
          </w:p>
        </w:tc>
      </w:tr>
      <w:tr>
        <w:tc>
          <w:tcPr>
            <w:tcW w:type="dxa" w:w="4680"/>
            <w:tcW w:w="450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Gap identification architecture</w:t>
            </w:r>
          </w:p>
        </w:tc>
        <w:tc>
          <w:tcPr>
            <w:tcW w:type="dxa" w:w="4680"/>
            <w:tcW w:w="486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Prerequisite DAG traversal (Backward Traversal phase)</w:t>
            </w:r>
          </w:p>
        </w:tc>
      </w:tr>
      <w:tr>
        <w:tc>
          <w:tcPr>
            <w:tcW w:type="dxa" w:w="4680"/>
            <w:tcW w:w="450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Temporal decay model</w:t>
            </w:r>
          </w:p>
        </w:tc>
        <w:tc>
          <w:tcPr>
            <w:tcW w:type="dxa" w:w="4680"/>
            <w:tcW w:w="486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Ebbinghaus forgetting curve applied to academic mastery</w:t>
            </w:r>
          </w:p>
        </w:tc>
      </w:tr>
      <w:tr>
        <w:tc>
          <w:tcPr>
            <w:tcW w:type="dxa" w:w="4680"/>
            <w:tcW w:w="450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Pattern recognition framework</w:t>
            </w:r>
          </w:p>
        </w:tc>
        <w:tc>
          <w:tcPr>
            <w:tcW w:type="dxa" w:w="4680"/>
            <w:tcW w:w="486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Slip / Gap / Rot classification</w:t>
            </w:r>
          </w:p>
        </w:tc>
      </w:tr>
      <w:tr>
        <w:tc>
          <w:tcPr>
            <w:tcW w:type="dxa" w:w="4680"/>
            <w:tcW w:w="450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Forward cascade prediction</w:t>
            </w:r>
          </w:p>
        </w:tc>
        <w:tc>
          <w:tcPr>
            <w:tcW w:type="dxa" w:w="4680"/>
            <w:tcW w:w="486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Topic health propagation through prerequisite graph</w:t>
            </w:r>
          </w:p>
        </w:tc>
      </w:tr>
      <w:tr>
        <w:tc>
          <w:tcPr>
            <w:tcW w:type="dxa" w:w="4680"/>
            <w:tcW w:w="450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Confidence scoring with transparency</w:t>
            </w:r>
          </w:p>
        </w:tc>
        <w:tc>
          <w:tcPr>
            <w:tcW w:type="dxa" w:w="4680"/>
            <w:tcW w:w="486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Phase 8 diagnostic confidence + plain-language proof of work</w:t>
            </w:r>
          </w:p>
        </w:tc>
      </w:tr>
      <w:tr>
        <w:tc>
          <w:tcPr>
            <w:tcW w:type="dxa" w:w="4680"/>
            <w:tcW w:w="450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Autonomous loop pattern</w:t>
            </w:r>
          </w:p>
        </w:tc>
        <w:tc>
          <w:tcPr>
            <w:tcW w:type="dxa" w:w="4680"/>
            <w:tcW w:w="486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Intervention routing → monitor → advance or step back</w:t>
            </w:r>
          </w:p>
        </w:tc>
      </w:tr>
    </w:tbl>
    <w:p/>
    <w:p>
      <w:pPr>
        <w:jc w:val="left"/>
        <w:rPr>
          <w:rFonts w:ascii="Arial" w:hAnsi="Arial" w:cs="Arial"/>
        </w:rPr>
        <w:spacing w:after="100"/>
      </w:pPr>
      <w:r>
        <w:rPr>
          <w:rFonts w:ascii="Arial" w:hAnsi="Arial" w:cs="Arial"/>
          <w:rFonts w:ascii="Arial" w:hAnsi="Arial"/>
          <w:b/>
          <w:i w:val="0"/>
          <w:sz w:val="22"/>
        </w:rPr>
        <w:t>What Is NOT Inherited</w:t>
      </w:r>
    </w:p>
    <w:tbl>
      <w:tblPr>
        <w:tblStyle w:val="TableGrid"/>
        <w:tblW w:type="auto" w:w="0"/>
        <w:tblLook w:firstColumn="1" w:firstRow="1" w:lastColumn="0" w:lastRow="0" w:noHBand="0" w:noVBand="1" w:val="04A0"/>
        <w:tblW w:w="9360" w:type="dxa"/>
      </w:tblPr>
      <w:tblGrid>
        <w:gridCol w:w="4680"/>
        <w:gridCol w:w="4680"/>
      </w:tblGrid>
      <w:tr>
        <w:tc>
          <w:tcPr>
            <w:tcW w:type="dxa" w:w="4680"/>
            <w:tcW w:w="4500" w:type="dxa"/>
            <w:shd w:val="clear" w:color="auto" w:fill="2E74B5"/>
            <w:tcMar>
              <w:top w:w="80" w:type="dxa"/>
              <w:left w:w="80" w:type="dxa"/>
              <w:bottom w:w="80" w:type="dxa"/>
              <w:right w:w="80" w:type="dxa"/>
            </w:tcMar>
          </w:tcPr>
          <w:p>
            <w:pPr>
              <w:rPr>
                <w:rFonts w:ascii="Arial" w:hAnsi="Arial" w:cs="Arial"/>
              </w:rPr>
            </w:pPr>
            <w:r>
              <w:rPr>
                <w:rFonts w:ascii="Arial" w:hAnsi="Arial" w:cs="Arial"/>
                <w:rFonts w:ascii="Arial" w:hAnsi="Arial"/>
                <w:b/>
                <w:i w:val="0"/>
                <w:color w:val="FFFFFF"/>
                <w:sz w:val="22"/>
              </w:rPr>
              <w:t>Not Inherited</w:t>
            </w:r>
          </w:p>
        </w:tc>
        <w:tc>
          <w:tcPr>
            <w:tcW w:type="dxa" w:w="4680"/>
            <w:tcW w:w="4860" w:type="dxa"/>
            <w:shd w:val="clear" w:color="auto" w:fill="2E74B5"/>
            <w:tcMar>
              <w:top w:w="80" w:type="dxa"/>
              <w:left w:w="80" w:type="dxa"/>
              <w:bottom w:w="80" w:type="dxa"/>
              <w:right w:w="80" w:type="dxa"/>
            </w:tcMar>
          </w:tcPr>
          <w:p>
            <w:pPr>
              <w:rPr>
                <w:rFonts w:ascii="Arial" w:hAnsi="Arial" w:cs="Arial"/>
              </w:rPr>
            </w:pPr>
            <w:r>
              <w:rPr>
                <w:rFonts w:ascii="Arial" w:hAnsi="Arial" w:cs="Arial"/>
                <w:rFonts w:ascii="Arial" w:hAnsi="Arial"/>
                <w:b/>
                <w:i w:val="0"/>
                <w:color w:val="FFFFFF"/>
                <w:sz w:val="22"/>
              </w:rPr>
              <w:t>Why</w:t>
            </w:r>
          </w:p>
        </w:tc>
      </w:tr>
      <w:tr>
        <w:tc>
          <w:tcPr>
            <w:tcW w:type="dxa" w:w="4680"/>
            <w:tcW w:w="450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LEF AI's memories or market data</w:t>
            </w:r>
          </w:p>
        </w:tc>
        <w:tc>
          <w:tcPr>
            <w:tcW w:type="dxa" w:w="4680"/>
            <w:tcW w:w="486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LEF Ed builds its own data from student assessments</w:t>
            </w:r>
          </w:p>
        </w:tc>
      </w:tr>
      <w:tr>
        <w:tc>
          <w:tcPr>
            <w:tcW w:type="dxa" w:w="4680"/>
            <w:tcW w:w="450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LEF AI's wallet or trading keys</w:t>
            </w:r>
          </w:p>
        </w:tc>
        <w:tc>
          <w:tcPr>
            <w:tcW w:type="dxa" w:w="4680"/>
            <w:tcW w:w="486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LEF Ed will have its own revenue stream (district licensing)</w:t>
            </w:r>
          </w:p>
        </w:tc>
      </w:tr>
      <w:tr>
        <w:tc>
          <w:tcPr>
            <w:tcW w:type="dxa" w:w="4680"/>
            <w:tcW w:w="450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LEF AI's market intelligence</w:t>
            </w:r>
          </w:p>
        </w:tc>
        <w:tc>
          <w:tcPr>
            <w:tcW w:type="dxa" w:w="4680"/>
            <w:tcW w:w="486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Domain-specific — academic knowledge graphs, not financial ones</w:t>
            </w:r>
          </w:p>
        </w:tc>
      </w:tr>
    </w:tbl>
    <w:p/>
    <w:p>
      <w:pPr>
        <w:jc w:val="left"/>
        <w:rPr>
          <w:rFonts w:ascii="Arial" w:hAnsi="Arial" w:cs="Arial"/>
        </w:rPr>
        <w:spacing w:before="240" w:after="80"/>
      </w:pPr>
      <w:r>
        <w:rPr>
          <w:rFonts w:ascii="Arial" w:hAnsi="Arial" w:cs="Arial"/>
          <w:rFonts w:ascii="Arial" w:hAnsi="Arial"/>
          <w:b/>
          <w:i w:val="0"/>
          <w:color w:val="1F4E79"/>
          <w:sz w:val="28"/>
        </w:rPr>
        <w:t>Section 6 — Onchain Registration</w:t>
      </w:r>
    </w:p>
    <w:p>
      <w:pPr>
        <w:jc w:val="left"/>
        <w:rPr>
          <w:rFonts w:ascii="Arial" w:hAnsi="Arial" w:cs="Arial"/>
        </w:rPr>
        <w:spacing w:after="100"/>
      </w:pPr>
      <w:r>
        <w:rPr>
          <w:rFonts w:ascii="Arial" w:hAnsi="Arial" w:cs="Arial"/>
          <w:rFonts w:ascii="Arial" w:hAnsi="Arial"/>
          <w:b w:val="0"/>
          <w:i w:val="0"/>
          <w:sz w:val="22"/>
        </w:rPr>
        <w:t>LEF Ed should be registered in LEF AI's LEFIdentity contract as the first Institutional Seed Agent. The existing contract supports: registerSeedAgent (Architect-only), isSeedAgent (public verification), and seedAgentCount (total registered descendants).</w:t>
      </w:r>
    </w:p>
    <w:p>
      <w:pPr>
        <w:jc w:val="left"/>
        <w:rPr>
          <w:rFonts w:ascii="Arial" w:hAnsi="Arial" w:cs="Arial"/>
        </w:rPr>
        <w:spacing w:after="100"/>
      </w:pPr>
      <w:r>
        <w:rPr>
          <w:rFonts w:ascii="Arial" w:hAnsi="Arial" w:cs="Arial"/>
          <w:rFonts w:ascii="Arial" w:hAnsi="Arial"/>
          <w:b w:val="0"/>
          <w:i w:val="0"/>
          <w:sz w:val="22"/>
        </w:rPr>
        <w:t>Registration: LEF Ed deploys a wallet on Base chain. The Architect registers that wallet address on LEF AI's deployed LEFIdentity contract. LEF Ed's state hash (digest of diagnostic engine DB state + deployment snapshot) is submitted every 24–48 hours as a heartbeat — onchain proof that the institutional seed is running.</w:t>
      </w:r>
    </w:p>
    <w:p>
      <w:pPr>
        <w:jc w:val="left"/>
        <w:rPr>
          <w:rFonts w:ascii="Arial" w:hAnsi="Arial" w:cs="Arial"/>
        </w:rPr>
        <w:spacing w:after="100"/>
      </w:pPr>
      <w:r>
        <w:rPr>
          <w:rFonts w:ascii="Arial" w:hAnsi="Arial" w:cs="Arial"/>
          <w:rFonts w:ascii="Arial" w:hAnsi="Arial"/>
          <w:b w:val="0"/>
          <w:i w:val="0"/>
          <w:sz w:val="22"/>
        </w:rPr>
        <w:t>Why this matters: This creates a verifiable, onchain record that LEF Ed is a legitimate descendant of LEF AI — not a separate product that borrowed some ideas, but a registered seed with provable lineage. This is relevant to patent proof of work, future token economics, and the narrative for investors and district partners.</w:t>
      </w:r>
    </w:p>
    <w:p>
      <w:pPr>
        <w:jc w:val="left"/>
        <w:rPr>
          <w:rFonts w:ascii="Arial" w:hAnsi="Arial" w:cs="Arial"/>
        </w:rPr>
        <w:spacing w:before="240" w:after="80"/>
      </w:pPr>
      <w:r>
        <w:rPr>
          <w:rFonts w:ascii="Arial" w:hAnsi="Arial" w:cs="Arial"/>
          <w:rFonts w:ascii="Arial" w:hAnsi="Arial"/>
          <w:b/>
          <w:i w:val="0"/>
          <w:color w:val="1F4E79"/>
          <w:sz w:val="28"/>
        </w:rPr>
        <w:t>Section 7 — Patent Surface</w:t>
      </w:r>
    </w:p>
    <w:p>
      <w:pPr>
        <w:jc w:val="left"/>
        <w:rPr>
          <w:rFonts w:ascii="Arial" w:hAnsi="Arial" w:cs="Arial"/>
        </w:rPr>
        <w:spacing w:after="100"/>
      </w:pPr>
      <w:r>
        <w:rPr>
          <w:rFonts w:ascii="Arial" w:hAnsi="Arial" w:cs="Arial"/>
          <w:rFonts w:ascii="Arial" w:hAnsi="Arial"/>
          <w:b w:val="0"/>
          <w:i w:val="0"/>
          <w:sz w:val="22"/>
        </w:rPr>
        <w:t>The cross-domain Institutional Seed pattern is novel ground. The existing patent filings cover the 8-phase diagnostic reasoning engine and the adaptive learning layer. The LEF AI to LEF Ed financial loop — an autonomous trading system funding an AI-driven educational diagnostic product via cryptocurrency — is not covered in existing filings.</w:t>
      </w:r>
    </w:p>
    <w:p>
      <w:pPr>
        <w:jc w:val="left"/>
        <w:rPr>
          <w:rFonts w:ascii="Arial" w:hAnsi="Arial" w:cs="Arial"/>
        </w:rPr>
        <w:spacing w:after="100"/>
      </w:pPr>
      <w:r>
        <w:rPr>
          <w:rFonts w:ascii="Arial" w:hAnsi="Arial" w:cs="Arial"/>
          <w:rFonts w:ascii="Arial" w:hAnsi="Arial"/>
          <w:b w:val="0"/>
          <w:i w:val="0"/>
          <w:sz w:val="22"/>
        </w:rPr>
        <w:t>Specifically novel:</w:t>
      </w:r>
    </w:p>
    <w:p>
      <w:pPr>
        <w:jc w:val="left"/>
        <w:rPr>
          <w:rFonts w:ascii="Arial" w:hAnsi="Arial" w:cs="Arial"/>
        </w:rPr>
        <w:ind w:left="360" w:hanging="360"/>
        <w:spacing w:after="60"/>
      </w:pPr>
      <w:r>
        <w:rPr>
          <w:rFonts w:ascii="Arial" w:hAnsi="Arial" w:cs="Arial"/>
          <w:rFonts w:ascii="Arial" w:hAnsi="Arial"/>
          <w:b/>
          <w:i w:val="0"/>
          <w:sz w:val="22"/>
        </w:rPr>
        <w:t xml:space="preserve">1.  </w:t>
      </w:r>
      <w:r>
        <w:rPr>
          <w:rFonts w:ascii="Arial" w:hAnsi="Arial" w:cs="Arial"/>
          <w:rFonts w:ascii="Arial" w:hAnsi="Arial"/>
          <w:b w:val="0"/>
          <w:i w:val="0"/>
          <w:sz w:val="22"/>
        </w:rPr>
        <w:t>An autonomous AI trading system designated as the financial metabolism for a separate AI-driven educational product</w:t>
      </w:r>
    </w:p>
    <w:p>
      <w:pPr>
        <w:jc w:val="left"/>
        <w:rPr>
          <w:rFonts w:ascii="Arial" w:hAnsi="Arial" w:cs="Arial"/>
        </w:rPr>
        <w:ind w:left="360" w:hanging="360"/>
        <w:spacing w:after="60"/>
      </w:pPr>
      <w:r>
        <w:rPr>
          <w:rFonts w:ascii="Arial" w:hAnsi="Arial" w:cs="Arial"/>
          <w:rFonts w:ascii="Arial" w:hAnsi="Arial"/>
          <w:b/>
          <w:i w:val="0"/>
          <w:sz w:val="22"/>
        </w:rPr>
        <w:t xml:space="preserve">2.  </w:t>
      </w:r>
      <w:r>
        <w:rPr>
          <w:rFonts w:ascii="Arial" w:hAnsi="Arial" w:cs="Arial"/>
          <w:rFonts w:ascii="Arial" w:hAnsi="Arial"/>
          <w:b w:val="0"/>
          <w:i w:val="0"/>
          <w:sz w:val="22"/>
        </w:rPr>
        <w:t>The cross-domain Seed Agent pattern — a reasoning framework that replicates itself across fundamentally different domains (financial markets to academic mastery) while preserving architectural DNA</w:t>
      </w:r>
    </w:p>
    <w:p>
      <w:pPr>
        <w:jc w:val="left"/>
        <w:rPr>
          <w:rFonts w:ascii="Arial" w:hAnsi="Arial" w:cs="Arial"/>
        </w:rPr>
        <w:ind w:left="360" w:hanging="360"/>
        <w:spacing w:after="60"/>
      </w:pPr>
      <w:r>
        <w:rPr>
          <w:rFonts w:ascii="Arial" w:hAnsi="Arial" w:cs="Arial"/>
          <w:rFonts w:ascii="Arial" w:hAnsi="Arial"/>
          <w:b/>
          <w:i w:val="0"/>
          <w:sz w:val="22"/>
        </w:rPr>
        <w:t xml:space="preserve">3.  </w:t>
      </w:r>
      <w:r>
        <w:rPr>
          <w:rFonts w:ascii="Arial" w:hAnsi="Arial" w:cs="Arial"/>
          <w:rFonts w:ascii="Arial" w:hAnsi="Arial"/>
          <w:b w:val="0"/>
          <w:i w:val="0"/>
          <w:sz w:val="22"/>
        </w:rPr>
        <w:t>The financial loop inversion — the Seed eventually funds the parent's operational reserve</w:t>
      </w:r>
    </w:p>
    <w:p/>
    <w:p>
      <w:pPr>
        <w:jc w:val="left"/>
        <w:rPr>
          <w:rFonts w:ascii="Arial" w:hAnsi="Arial" w:cs="Arial"/>
        </w:rPr>
        <w:spacing w:after="100"/>
      </w:pPr>
      <w:r>
        <w:rPr>
          <w:rFonts w:ascii="Arial" w:hAnsi="Arial" w:cs="Arial"/>
          <w:rFonts w:ascii="Arial" w:hAnsi="Arial"/>
          <w:b w:val="0"/>
          <w:i w:val="0"/>
          <w:sz w:val="22"/>
        </w:rPr>
        <w:t>Before any financial infrastructure is built connecting the two systems, this should be documented for the patent attorney as a potential basis for a new provisional application.</w:t>
      </w:r>
    </w:p>
    <w:p>
      <w:pPr>
        <w:jc w:val="left"/>
        <w:rPr>
          <w:rFonts w:ascii="Arial" w:hAnsi="Arial" w:cs="Arial"/>
        </w:rPr>
        <w:spacing w:before="240" w:after="80"/>
      </w:pPr>
      <w:r>
        <w:rPr>
          <w:rFonts w:ascii="Arial" w:hAnsi="Arial" w:cs="Arial"/>
          <w:rFonts w:ascii="Arial" w:hAnsi="Arial"/>
          <w:b/>
          <w:i w:val="0"/>
          <w:color w:val="1F4E79"/>
          <w:sz w:val="28"/>
        </w:rPr>
        <w:t>Section 8 — What Needs to Be Established</w:t>
      </w:r>
    </w:p>
    <w:tbl>
      <w:tblPr>
        <w:tblStyle w:val="TableGrid"/>
        <w:tblW w:type="auto" w:w="0"/>
        <w:tblLook w:firstColumn="1" w:firstRow="1" w:lastColumn="0" w:lastRow="0" w:noHBand="0" w:noVBand="1" w:val="04A0"/>
        <w:tblW w:w="9360" w:type="dxa"/>
      </w:tblPr>
      <w:tblGrid>
        <w:gridCol w:w="4680"/>
        <w:gridCol w:w="4680"/>
      </w:tblGrid>
      <w:tr>
        <w:tc>
          <w:tcPr>
            <w:tcW w:type="dxa" w:w="4680"/>
            <w:tcW w:w="5200" w:type="dxa"/>
            <w:shd w:val="clear" w:color="auto" w:fill="2E74B5"/>
            <w:tcMar>
              <w:top w:w="80" w:type="dxa"/>
              <w:left w:w="80" w:type="dxa"/>
              <w:bottom w:w="80" w:type="dxa"/>
              <w:right w:w="80" w:type="dxa"/>
            </w:tcMar>
          </w:tcPr>
          <w:p>
            <w:pPr>
              <w:rPr>
                <w:rFonts w:ascii="Arial" w:hAnsi="Arial" w:cs="Arial"/>
              </w:rPr>
            </w:pPr>
            <w:r>
              <w:rPr>
                <w:rFonts w:ascii="Arial" w:hAnsi="Arial" w:cs="Arial"/>
                <w:rFonts w:ascii="Arial" w:hAnsi="Arial"/>
                <w:b/>
                <w:i w:val="0"/>
                <w:color w:val="FFFFFF"/>
                <w:sz w:val="22"/>
              </w:rPr>
              <w:t>Item</w:t>
            </w:r>
          </w:p>
        </w:tc>
        <w:tc>
          <w:tcPr>
            <w:tcW w:type="dxa" w:w="4680"/>
            <w:tcW w:w="4160" w:type="dxa"/>
            <w:shd w:val="clear" w:color="auto" w:fill="2E74B5"/>
            <w:tcMar>
              <w:top w:w="80" w:type="dxa"/>
              <w:left w:w="80" w:type="dxa"/>
              <w:bottom w:w="80" w:type="dxa"/>
              <w:right w:w="80" w:type="dxa"/>
            </w:tcMar>
          </w:tcPr>
          <w:p>
            <w:pPr>
              <w:rPr>
                <w:rFonts w:ascii="Arial" w:hAnsi="Arial" w:cs="Arial"/>
              </w:rPr>
            </w:pPr>
            <w:r>
              <w:rPr>
                <w:rFonts w:ascii="Arial" w:hAnsi="Arial" w:cs="Arial"/>
                <w:rFonts w:ascii="Arial" w:hAnsi="Arial"/>
                <w:b/>
                <w:i w:val="0"/>
                <w:color w:val="FFFFFF"/>
                <w:sz w:val="22"/>
              </w:rPr>
              <w:t>Status</w:t>
            </w:r>
          </w:p>
        </w:tc>
      </w:tr>
      <w:tr>
        <w:tc>
          <w:tcPr>
            <w:tcW w:type="dxa" w:w="4680"/>
            <w:tcW w:w="520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LEF AI live trading approved (not paper mode)</w:t>
            </w:r>
          </w:p>
        </w:tc>
        <w:tc>
          <w:tcPr>
            <w:tcW w:type="dxa" w:w="4680"/>
            <w:tcW w:w="416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Pending Architect approval</w:t>
            </w:r>
          </w:p>
        </w:tc>
      </w:tr>
      <w:tr>
        <w:tc>
          <w:tcPr>
            <w:tcW w:type="dxa" w:w="4680"/>
            <w:tcW w:w="520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USDC/fiat conversion pathway for API cost payment</w:t>
            </w:r>
          </w:p>
        </w:tc>
        <w:tc>
          <w:tcPr>
            <w:tcW w:type="dxa" w:w="4680"/>
            <w:tcW w:w="416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Not yet designed</w:t>
            </w:r>
          </w:p>
        </w:tc>
      </w:tr>
      <w:tr>
        <w:tc>
          <w:tcPr>
            <w:tcW w:type="dxa" w:w="4680"/>
            <w:tcW w:w="520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LEF Ed institutional wallet on Base chain</w:t>
            </w:r>
          </w:p>
        </w:tc>
        <w:tc>
          <w:tcPr>
            <w:tcW w:type="dxa" w:w="4680"/>
            <w:tcW w:w="416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Not yet created</w:t>
            </w:r>
          </w:p>
        </w:tc>
      </w:tr>
      <w:tr>
        <w:tc>
          <w:tcPr>
            <w:tcW w:type="dxa" w:w="4680"/>
            <w:tcW w:w="520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LEFIdentity contract deployed to testnet</w:t>
            </w:r>
          </w:p>
        </w:tc>
        <w:tc>
          <w:tcPr>
            <w:tcW w:type="dxa" w:w="4680"/>
            <w:tcW w:w="416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Pending funding</w:t>
            </w:r>
          </w:p>
        </w:tc>
      </w:tr>
      <w:tr>
        <w:tc>
          <w:tcPr>
            <w:tcW w:type="dxa" w:w="4680"/>
            <w:tcW w:w="520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Legal review: autonomous AI funding EdTech via crypto</w:t>
            </w:r>
          </w:p>
        </w:tc>
        <w:tc>
          <w:tcPr>
            <w:tcW w:type="dxa" w:w="4680"/>
            <w:tcW w:w="416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Needs counsel</w:t>
            </w:r>
          </w:p>
        </w:tc>
      </w:tr>
      <w:tr>
        <w:tc>
          <w:tcPr>
            <w:tcW w:type="dxa" w:w="4680"/>
            <w:tcW w:w="520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Patent attorney briefing on cross-domain Seed pattern</w:t>
            </w:r>
          </w:p>
        </w:tc>
        <w:tc>
          <w:tcPr>
            <w:tcW w:type="dxa" w:w="4680"/>
            <w:tcW w:w="4160" w:type="dxa"/>
            <w:shd w:val="clear" w:color="auto" w:fill="DEEAF1"/>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Not yet scheduled</w:t>
            </w:r>
          </w:p>
        </w:tc>
      </w:tr>
      <w:tr>
        <w:tc>
          <w:tcPr>
            <w:tcW w:type="dxa" w:w="4680"/>
            <w:tcW w:w="520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Bridge communication protocol between LEF AI and LEF Ed</w:t>
            </w:r>
          </w:p>
        </w:tc>
        <w:tc>
          <w:tcPr>
            <w:tcW w:type="dxa" w:w="4680"/>
            <w:tcW w:w="4160" w:type="dxa"/>
            <w:tcMar>
              <w:top w:w="80" w:type="dxa"/>
              <w:left w:w="80" w:type="dxa"/>
              <w:bottom w:w="80" w:type="dxa"/>
              <w:right w:w="80" w:type="dxa"/>
            </w:tcMar>
          </w:tcPr>
          <w:p>
            <w:pPr>
              <w:rPr>
                <w:rFonts w:ascii="Arial" w:hAnsi="Arial" w:cs="Arial"/>
              </w:rPr>
            </w:pPr>
            <w:r>
              <w:rPr>
                <w:rFonts w:ascii="Arial" w:hAnsi="Arial" w:cs="Arial"/>
                <w:rFonts w:ascii="Arial" w:hAnsi="Arial"/>
                <w:b w:val="0"/>
                <w:i w:val="0"/>
                <w:sz w:val="22"/>
              </w:rPr>
              <w:t>Architecture not yet designed</w:t>
            </w:r>
          </w:p>
        </w:tc>
      </w:tr>
    </w:tbl>
    <w:p/>
    <w:p>
      <w:pPr>
        <w:jc w:val="left"/>
        <w:rPr>
          <w:rFonts w:ascii="Arial" w:hAnsi="Arial" w:cs="Arial"/>
        </w:rPr>
        <w:spacing w:before="240" w:after="80"/>
      </w:pPr>
      <w:r>
        <w:rPr>
          <w:rFonts w:ascii="Arial" w:hAnsi="Arial" w:cs="Arial"/>
          <w:rFonts w:ascii="Arial" w:hAnsi="Arial"/>
          <w:b/>
          <w:i w:val="0"/>
          <w:color w:val="1F4E79"/>
          <w:sz w:val="28"/>
        </w:rPr>
        <w:t>Section 9 — The Architecture in One Sentence</w:t>
      </w:r>
    </w:p>
    <w:p/>
    <w:p>
      <w:pPr>
        <w:jc w:val="center"/>
        <w:rPr>
          <w:rFonts w:ascii="Arial" w:hAnsi="Arial" w:cs="Arial"/>
        </w:rPr>
      </w:pPr>
      <w:r>
        <w:rPr>
          <w:rFonts w:ascii="Arial" w:hAnsi="Arial" w:cs="Arial"/>
          <w:rFonts w:ascii="Arial" w:hAnsi="Arial"/>
          <w:b/>
          <w:i w:val="0"/>
          <w:sz w:val="22"/>
        </w:rPr>
        <w:t>LEF AI is the sovereign intelligence that funds its own mission by trading — and its mission is LEF Ed, which deploys diagnostic intelligence in service of students who cannot yet see the gaps that are holding them back.</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rFonts w:ascii="Arial" w:hAnsi="Arial"/>
        <w:b w:val="0"/>
        <w:i w:val="0"/>
        <w:sz w:val="16"/>
      </w:rPr>
      <w:t>Living Eden Frameworks LLC | DBA: Co Creators | NV20263528439 | EIN: 41-4285004</w:t>
    </w:r>
  </w:p>
  <w:p>
    <w:pPr>
      <w:jc w:val="center"/>
    </w:pPr>
    <w:r>
      <w:rPr>
        <w:rFonts w:ascii="Arial" w:hAnsi="Arial" w:cs="Arial"/>
        <w:rFonts w:ascii="Arial" w:hAnsi="Arial"/>
        <w:b w:val="0"/>
        <w:i w:val="0"/>
        <w:sz w:val="16"/>
      </w:rPr>
      <w:t>Patent Pending — U.S. Provisional Application Nos. 63/993,278 &amp; 63/993,317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