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3864"/>
          <w:sz w:val="48"/>
        </w:rPr>
        <w:t>LEF Ed. Logistics — Data Intelligence Partner Ecosystem</w:t>
      </w:r>
    </w:p>
    <w:p>
      <w:pPr>
        <w:spacing w:before="0" w:after="120"/>
        <w:jc w:val="center"/>
      </w:pPr>
      <w:r>
        <w:rPr>
          <w:rFonts w:ascii="Arial" w:hAnsi="Arial"/>
          <w:color w:val="1F3864"/>
          <w:sz w:val="26"/>
        </w:rPr>
        <w:t>Clever · NWEA · Renaissance STAR · FastBridge (Illuminate)</w:t>
      </w:r>
    </w:p>
    <w:p>
      <w:pPr>
        <w:spacing w:before="0" w:after="40"/>
        <w:jc w:val="center"/>
      </w:pPr>
      <w:r>
        <w:rPr>
          <w:rFonts w:ascii="Arial" w:hAnsi="Arial"/>
          <w:color w:val="666666"/>
          <w:sz w:val="18"/>
        </w:rPr>
        <w:t>Prepared by Living Eden Frameworks LLC | DBA Co Creators | lefliving.com | NV LLC | EIN on file | Founder: Zontonnia Moore | Patent Pending: U.S. Provisional Application Nos. 63/993,278 &amp; 63/993,317</w:t>
      </w:r>
    </w:p>
    <w:p>
      <w:pPr>
        <w:spacing w:before="0" w:after="320"/>
        <w:jc w:val="center"/>
      </w:pPr>
      <w:r>
        <w:rPr>
          <w:rFonts w:ascii="Arial" w:hAnsi="Arial"/>
          <w:color w:val="666666"/>
          <w:sz w:val="18"/>
        </w:rPr>
        <w:t>March 2026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1: The Gap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Clever moves student data between schools and EdTech platforms — it is the rostering layer. NWEA, Renaissance STAR, and FastBridge measure where students are — they are the assessment layer. But between rostering and assessment, there is a gap: nobody is reasoning about why a student is struggling, what prerequisite failure caused it, or what is about to go wrong next.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Schools see dashboards. They see scores go up or down. What they do not see is the structural logic underneath — the decaying prerequisite that is about to cascade into three future failures, or the mis-routed intervention that is treating a symptom instead of a root cause.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This gap is not a product category. It is a reasoning layer that does not exist yet.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2: The Bridge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LEF Ed. Logistics is that reasoning layer. Built on research-backed models — Ebbinghaus memory decay, Bloom’s mastery taxonomy, Vygotsky’s Zone of Proximal Development, Webb’s Depth of Knowledge — and original diagnostic frameworks — Slip/Gap/Rot error classification, prerequisite DAG traversal, tier-based cohort grouping — LEF does not replace what Clever, NWEA, Renaissance STAR, or FastBridge do. It makes what they do intelligent.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Each partner in the LEF data stack has a role: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Clever</w:t>
      </w:r>
      <w:r>
        <w:rPr>
          <w:rFonts w:ascii="Arial" w:hAnsi="Arial"/>
          <w:b w:val="0"/>
          <w:i w:val="0"/>
          <w:color w:val="000000"/>
          <w:sz w:val="22"/>
        </w:rPr>
        <w:t xml:space="preserve"> is the infrastructure — roster data, district integration, distribution channel.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NWEA MAP Growth</w:t>
      </w:r>
      <w:r>
        <w:rPr>
          <w:rFonts w:ascii="Arial" w:hAnsi="Arial"/>
          <w:b w:val="0"/>
          <w:i w:val="0"/>
          <w:color w:val="000000"/>
          <w:sz w:val="22"/>
        </w:rPr>
        <w:t xml:space="preserve"> is the altitude — benchmark assessment showing where a student stands in the growth map.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Renaissance STAR</w:t>
      </w:r>
      <w:r>
        <w:rPr>
          <w:rFonts w:ascii="Arial" w:hAnsi="Arial"/>
          <w:b w:val="0"/>
          <w:i w:val="0"/>
          <w:color w:val="000000"/>
          <w:sz w:val="22"/>
        </w:rPr>
        <w:t xml:space="preserve"> is the diagnostic detail — reading and math skills data with grade-level granularity.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FastBridge (Illuminate Education)</w:t>
      </w:r>
      <w:r>
        <w:rPr>
          <w:rFonts w:ascii="Arial" w:hAnsi="Arial"/>
          <w:b w:val="0"/>
          <w:i w:val="0"/>
          <w:color w:val="000000"/>
          <w:sz w:val="22"/>
        </w:rPr>
        <w:t xml:space="preserve"> is the ground speed — curriculum-based measurement (CBM) screening that shows how fast a student is moving through a skill, plus SAEBRS behavioral risk screening.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LEF Ed. Logistics</w:t>
      </w:r>
      <w:r>
        <w:rPr>
          <w:rFonts w:ascii="Arial" w:hAnsi="Arial"/>
          <w:b w:val="0"/>
          <w:i w:val="0"/>
          <w:color w:val="000000"/>
          <w:sz w:val="22"/>
        </w:rPr>
        <w:t xml:space="preserve"> is the reasoning layer — the system that takes all of this data and answers the question no existing tool answers: </w:t>
      </w:r>
    </w:p>
    <w:p>
      <w:pPr>
        <w:spacing w:before="0" w:after="160"/>
        <w:ind w:left="720"/>
      </w:pPr>
      <w:r>
        <w:rPr>
          <w:rFonts w:ascii="Arial" w:hAnsi="Arial"/>
          <w:b w:val="0"/>
          <w:i/>
          <w:color w:val="000000"/>
          <w:sz w:val="22"/>
        </w:rPr>
        <w:t>Why is this student failing, when will they fail next, and exactly what needs to happen before the next benchmark?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Together, this is the complete stack for student data intelligence.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3: What LEF Ed. Logistics Does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Five core capabilities:</w:t>
      </w:r>
    </w:p>
    <w:p>
      <w:pPr>
        <w:spacing w:before="60" w:after="60"/>
        <w:ind w:left="360"/>
      </w:pPr>
      <w:r>
        <w:rPr>
          <w:rFonts w:ascii="Arial" w:hAnsi="Arial"/>
          <w:b/>
          <w:i w:val="0"/>
          <w:color w:val="000000"/>
          <w:sz w:val="22"/>
        </w:rPr>
        <w:t xml:space="preserve">1. </w:t>
      </w:r>
      <w:r>
        <w:rPr>
          <w:rFonts w:ascii="Arial" w:hAnsi="Arial"/>
          <w:b/>
          <w:i w:val="0"/>
          <w:color w:val="000000"/>
          <w:sz w:val="22"/>
        </w:rPr>
        <w:t>Root Cause Diagnosis</w:t>
      </w:r>
      <w:r>
        <w:rPr>
          <w:rFonts w:ascii="Arial" w:hAnsi="Arial"/>
          <w:b w:val="0"/>
          <w:i w:val="0"/>
          <w:color w:val="000000"/>
          <w:sz w:val="22"/>
        </w:rPr>
        <w:t xml:space="preserve"> — Backward prerequisite DAG traversal classifying failures as Slip (temporary regression), Gap (missing instruction), or Rot (decayed mastery).</w:t>
      </w:r>
    </w:p>
    <w:p>
      <w:pPr>
        <w:spacing w:before="60" w:after="60"/>
        <w:ind w:left="360"/>
      </w:pPr>
      <w:r>
        <w:rPr>
          <w:rFonts w:ascii="Arial" w:hAnsi="Arial"/>
          <w:b/>
          <w:i w:val="0"/>
          <w:color w:val="000000"/>
          <w:sz w:val="22"/>
        </w:rPr>
        <w:t xml:space="preserve">2. </w:t>
      </w:r>
      <w:r>
        <w:rPr>
          <w:rFonts w:ascii="Arial" w:hAnsi="Arial"/>
          <w:b/>
          <w:i w:val="0"/>
          <w:color w:val="000000"/>
          <w:sz w:val="22"/>
        </w:rPr>
        <w:t>Decay-Aware Health Tracking</w:t>
      </w:r>
      <w:r>
        <w:rPr>
          <w:rFonts w:ascii="Arial" w:hAnsi="Arial"/>
          <w:b w:val="0"/>
          <w:i w:val="0"/>
          <w:color w:val="000000"/>
          <w:sz w:val="22"/>
        </w:rPr>
        <w:t xml:space="preserve"> — Ebbinghaus forgetting curve applied to mastery as a living signal, updated continuously — not only at benchmark intervals.</w:t>
      </w:r>
    </w:p>
    <w:p>
      <w:pPr>
        <w:spacing w:before="60" w:after="60"/>
        <w:ind w:left="360"/>
      </w:pPr>
      <w:r>
        <w:rPr>
          <w:rFonts w:ascii="Arial" w:hAnsi="Arial"/>
          <w:b/>
          <w:i w:val="0"/>
          <w:color w:val="000000"/>
          <w:sz w:val="22"/>
        </w:rPr>
        <w:t xml:space="preserve">3. </w:t>
      </w:r>
      <w:r>
        <w:rPr>
          <w:rFonts w:ascii="Arial" w:hAnsi="Arial"/>
          <w:b/>
          <w:i w:val="0"/>
          <w:color w:val="000000"/>
          <w:sz w:val="22"/>
        </w:rPr>
        <w:t>Forward Trajectory Prediction</w:t>
      </w:r>
      <w:r>
        <w:rPr>
          <w:rFonts w:ascii="Arial" w:hAnsi="Arial"/>
          <w:b w:val="0"/>
          <w:i w:val="0"/>
          <w:color w:val="000000"/>
          <w:sz w:val="22"/>
        </w:rPr>
        <w:t xml:space="preserve"> — Projects student health curves forward to identify risk before a test reveals it. Districts see problems 4–8 weeks before benchmark data would surface them.</w:t>
      </w:r>
    </w:p>
    <w:p>
      <w:pPr>
        <w:spacing w:before="60" w:after="60"/>
        <w:ind w:left="360"/>
      </w:pPr>
      <w:r>
        <w:rPr>
          <w:rFonts w:ascii="Arial" w:hAnsi="Arial"/>
          <w:b/>
          <w:i w:val="0"/>
          <w:color w:val="000000"/>
          <w:sz w:val="22"/>
        </w:rPr>
        <w:t xml:space="preserve">4. </w:t>
      </w:r>
      <w:r>
        <w:rPr>
          <w:rFonts w:ascii="Arial" w:hAnsi="Arial"/>
          <w:b/>
          <w:i w:val="0"/>
          <w:color w:val="000000"/>
          <w:sz w:val="22"/>
        </w:rPr>
        <w:t>Autonomous Intervention Loop</w:t>
      </w:r>
      <w:r>
        <w:rPr>
          <w:rFonts w:ascii="Arial" w:hAnsi="Arial"/>
          <w:b w:val="0"/>
          <w:i w:val="0"/>
          <w:color w:val="000000"/>
          <w:sz w:val="22"/>
        </w:rPr>
        <w:t xml:space="preserve"> — Pushes the right intervention, monitors progress, auto-advances or switches platforms, steps back up the DAG to find blocking root topics — without teacher involvement.</w:t>
      </w:r>
    </w:p>
    <w:p>
      <w:pPr>
        <w:spacing w:before="60" w:after="60"/>
        <w:ind w:left="360"/>
      </w:pPr>
      <w:r>
        <w:rPr>
          <w:rFonts w:ascii="Arial" w:hAnsi="Arial"/>
          <w:b/>
          <w:i w:val="0"/>
          <w:color w:val="000000"/>
          <w:sz w:val="22"/>
        </w:rPr>
        <w:t xml:space="preserve">5. </w:t>
      </w:r>
      <w:r>
        <w:rPr>
          <w:rFonts w:ascii="Arial" w:hAnsi="Arial"/>
          <w:b/>
          <w:i w:val="0"/>
          <w:color w:val="000000"/>
          <w:sz w:val="22"/>
        </w:rPr>
        <w:t>Intelligent Action Routing</w:t>
      </w:r>
      <w:r>
        <w:rPr>
          <w:rFonts w:ascii="Arial" w:hAnsi="Arial"/>
          <w:b w:val="0"/>
          <w:i w:val="0"/>
          <w:color w:val="000000"/>
          <w:sz w:val="22"/>
        </w:rPr>
        <w:t xml:space="preserve"> — Tier assignments, parent study packets, assignment recommendations, and MTSS documentation delivered to the right person at the right time.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4: Partner Roles &amp; Integration Phases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F3864"/>
          <w:sz w:val="24"/>
        </w:rPr>
        <w:t>Phase 1 — Core Integration (Active)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Partner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What They Provide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LEF’s Use of the Data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Integration Method</w:t>
            </w:r>
          </w:p>
        </w:tc>
      </w:tr>
      <w:tr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Clever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Student roster, enrollment, SIS link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Student identity, classroom structure, teacher assignment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Clever API (OAuth)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NWEA MAP Growth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Benchmark assessment scores, RIT scores, growth norms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Starting health baseline, growth trajectory calibration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NWEA API / MAP export</w:t>
            </w:r>
          </w:p>
        </w:tc>
      </w:tr>
      <w:tr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Renaissance STAR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Academic benchmarks, reading/math diagnostic data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Secondary baseline; skill-level health inputs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Renaissance API / STAR export</w:t>
            </w:r>
          </w:p>
        </w:tc>
      </w:tr>
    </w:tbl>
    <w:p>
      <w:pPr>
        <w:spacing w:after="120"/>
      </w:pP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F3864"/>
          <w:sz w:val="24"/>
        </w:rPr>
        <w:t>Phase 2 — Extended Integration (Planned)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Partner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What They Provide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LEF’s Use of the Data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Integration Method</w:t>
            </w:r>
          </w:p>
        </w:tc>
      </w:tr>
      <w:tr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FastBridge (Illuminate / Renaissance Learning)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CBM screening data, SAEBRS behavioral risk scores, S2i progress monitoring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High-frequency skill-level decay signals; behavioral risk correlation with academic decay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OneRoster-compatible S2i report import (flat file). Note: Illuminate’s direct API is restrictive. OneRoster S2i transfer is the preferred, district-neutral path.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i-Ready (Curriculum Associates)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Intervention delivery outcomes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Platform effectiveness tracking; curriculum signal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Outcome export / OneRoster</w:t>
            </w:r>
          </w:p>
        </w:tc>
      </w:tr>
      <w:tr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aimswebPlus (Pearson)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MTSS-level progress monitoring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Deep SPED/MTSS data integration for IEP module</w:t>
            </w:r>
          </w:p>
        </w:tc>
        <w:tc>
          <w:tcPr>
            <w:tcW w:type="dxa" w:w="234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OneRoster / flat file</w:t>
            </w:r>
          </w:p>
        </w:tc>
      </w:tr>
    </w:tbl>
    <w:p>
      <w:pPr>
        <w:spacing w:after="120"/>
      </w:pP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F3864"/>
          <w:sz w:val="24"/>
        </w:rPr>
        <w:t>Phase 3 — Intelligence Layer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In Phase 3, LEF harmonizes multi-source data into a single “Living Signal” — a continuous, decay-aware, behaviorally-correlated view of each student’s academic trajectory. NWEA provides altitude (where the student is in the growth map). FastBridge provides ground speed (how fast they’re moving through a skill). Renaissance STAR provides diagnostic granularity. LEF harmonizes these often-conflicting data points — students who score well on benchmarks but show rapid decay on CBMs are surfaced as a distinct risk profile — and translates the combined signal into teacher-ready action.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5: FastBridge — A Strategic Note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FastBridge (now part of the Renaissance Learning ecosystem via Illuminate Education) is used by many Nevada districts as their primary MTSS-A (Academic) and MTSS-B (Behavioral) screening tool. Not all districts use NWEA — FastBridge is the NWEA equivalent in many rural and mid-size Nevada schools.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000000"/>
          <w:sz w:val="22"/>
        </w:rPr>
        <w:t>FastBridge is not a competitor.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The distinction is architectural: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FastBridge</w:t>
      </w:r>
      <w:r>
        <w:rPr>
          <w:rFonts w:ascii="Arial" w:hAnsi="Arial"/>
          <w:b w:val="0"/>
          <w:i w:val="0"/>
          <w:color w:val="000000"/>
          <w:sz w:val="22"/>
        </w:rPr>
        <w:t xml:space="preserve"> answers: “What does this student know right now?” (assessment/screening)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000000"/>
          <w:sz w:val="22"/>
        </w:rPr>
        <w:t>LEF Ed</w:t>
      </w:r>
      <w:r>
        <w:rPr>
          <w:rFonts w:ascii="Arial" w:hAnsi="Arial"/>
          <w:b w:val="0"/>
          <w:i w:val="0"/>
          <w:color w:val="000000"/>
          <w:sz w:val="22"/>
        </w:rPr>
        <w:t xml:space="preserve"> answers: “Why are they failing? When will they forget it? What happened years ago that is blocking them today?” (diagnostic reasoning)</w:t>
      </w:r>
    </w:p>
    <w:p>
      <w:pPr>
        <w:spacing w:before="12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FastBridge gives percentiles and benchmark flags. LEF provides decay trajectories, prerequisite genealogy, and autonomous routing to the exact intervention — at the exact skill level — needed to prevent the next failure.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When a district or school says “We use FastBridge instead of MAP,” LEF’s response is: “We are OneRoster compatible. We ingest your FastBridge S2i reports via secure transfer — no new platform, no disruption to your existing MTSS workflow.”</w:t>
      </w:r>
    </w:p>
    <w:p>
      <w:pPr>
        <w:spacing w:before="0" w:after="40"/>
        <w:jc w:val="left"/>
      </w:pPr>
      <w:r>
        <w:rPr>
          <w:rFonts w:ascii="Arial" w:hAnsi="Arial"/>
          <w:b/>
          <w:i w:val="0"/>
          <w:color w:val="000000"/>
          <w:sz w:val="22"/>
        </w:rPr>
        <w:t>SAEBRS Integration Value: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FastBridge’s SAEBRS screener captures behavioral risk alongside academic risk. In Phase 2, LEF correlates SAEBRS behavior spikes with academic decay trajectories — creating the first unified “Living Signal” that surfaces students whose behavioral escalation is a leading indicator of academic collapse. This is a significant differentiator for the IEP module (Phase 2) and district MTSS-A/B unified reporting.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6: The Competitive Distinction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FastBridge</w:t>
            </w:r>
          </w:p>
        </w:tc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i-Ready</w:t>
            </w:r>
          </w:p>
        </w:tc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Branching Minds</w:t>
            </w:r>
          </w:p>
        </w:tc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Panorama</w:t>
            </w:r>
          </w:p>
        </w:tc>
        <w:tc>
          <w:tcPr>
            <w:tcW w:type="dxa" w:w="1560"/>
            <w:shd w:val="clear" w:color="auto" w:fill="1F386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LEF Ed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Risk identification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(percentiles)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(placement)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Case management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Survey data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(decay trajectory)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Root cause reasoning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(prerequisite DAG)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Forgetting curve modeling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(Ebbinghaus)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Forward risk prediction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(4–8 weeks ahead)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Autonomous intervention loop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Partial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(no teacher input required)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Behavioral + academic correlation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(SAEBRS)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(behavior-first)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(survey)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Phase 2 (via FastBridge SAEBRS)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Algorithm transparency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(plain-language reasoning PoW)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IEP data generation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✓ (partial)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Phase 2</w:t>
            </w:r>
          </w:p>
        </w:tc>
      </w:tr>
    </w:tbl>
    <w:p>
      <w:pPr>
        <w:spacing w:before="120" w:after="160"/>
      </w:pPr>
      <w:r>
        <w:rPr>
          <w:rFonts w:ascii="Arial" w:hAnsi="Arial"/>
          <w:b w:val="0"/>
          <w:i/>
          <w:color w:val="666666"/>
          <w:sz w:val="20"/>
        </w:rPr>
        <w:t>“LEF does not compete with FastBridge, NWEA, or Renaissance STAR. It completes them.”</w:t>
      </w:r>
    </w:p>
    <w:p>
      <w:pPr>
        <w:spacing w:before="280" w:after="80"/>
        <w:jc w:val="left"/>
        <w:pBdr>
          <w:bottom w:val="single" w:sz="4" w:space="1" w:color="1F3864"/>
        </w:pBdr>
      </w:pPr>
      <w:r>
        <w:rPr>
          <w:rFonts w:ascii="Arial" w:hAnsi="Arial"/>
          <w:b/>
          <w:i w:val="0"/>
          <w:color w:val="1F3864"/>
          <w:sz w:val="30"/>
        </w:rPr>
        <w:t>Section 7: About Living Eden Frameworks LLC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Living Eden Frameworks LLC (DBA: Co Creators) builds living frameworks — architectural seeds that identify structural gaps between existing systems and create reasoning layers to bridge them. LEF Ed. Logistics is the diagnostic intelligence layer for K-12 academic mastery. LEF AI is the financial metabolism that funds its development.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000000"/>
          <w:sz w:val="22"/>
        </w:rPr>
        <w:t>Patent Pending — U.S. Provisional Application Nos. 63/993,278 &amp; 63/993,317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666666"/>
          <w:sz w:val="22"/>
        </w:rPr>
        <w:t>lefliving.com | NV LLC | EIN on file | Founder: Zontonnia Moore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  <w:pBdr>
        <w:top w:val="single" w:sz="4" w:space="1" w:color="1F3864"/>
      </w:pBdr>
    </w:pPr>
    <w:r>
      <w:rPr>
        <w:rFonts w:ascii="Arial" w:hAnsi="Arial"/>
        <w:color w:val="666666"/>
        <w:sz w:val="16"/>
      </w:rPr>
      <w:t>Co Creator LLC (dba LEF Ai)  ·  Living Eden Frameworks  ·  Patent Pending: U.S. App. No. 63/993,278  ·  63/993,317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