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i w:val="0"/>
          <w:color w:val="C00000"/>
          <w:sz w:val="22"/>
        </w:rPr>
        <w:t>INTERNAL DOCUMENT — NDA REQUIRED</w:t>
      </w:r>
    </w:p>
    <w:p>
      <w:pPr>
        <w:spacing w:before="80" w:after="120"/>
        <w:jc w:val="center"/>
      </w:pPr>
      <w:r>
        <w:rPr>
          <w:rFonts w:ascii="Arial" w:hAnsi="Arial"/>
          <w:b/>
          <w:i w:val="0"/>
          <w:color w:val="1F3864"/>
          <w:sz w:val="48"/>
        </w:rPr>
        <w:t>LEF Ed. Logistics — Internal Feature Roadmap &amp; Strategy</w:t>
      </w:r>
    </w:p>
    <w:p>
      <w:pPr>
        <w:spacing w:before="0" w:after="80"/>
        <w:jc w:val="center"/>
      </w:pPr>
      <w:r>
        <w:rPr>
          <w:rFonts w:ascii="Arial" w:hAnsi="Arial"/>
          <w:b w:val="0"/>
          <w:i w:val="0"/>
          <w:color w:val="1F3864"/>
          <w:sz w:val="24"/>
        </w:rPr>
        <w:t>INTERNAL DOCUMENT — NDA REQUIRED</w:t>
      </w:r>
    </w:p>
    <w:p>
      <w:pPr>
        <w:spacing w:before="0" w:after="120"/>
        <w:jc w:val="center"/>
      </w:pPr>
      <w:r>
        <w:rPr>
          <w:rFonts w:ascii="Arial" w:hAnsi="Arial"/>
          <w:b w:val="0"/>
          <w:i w:val="0"/>
          <w:color w:val="1F3864"/>
          <w:sz w:val="24"/>
        </w:rPr>
        <w:t>March 2026  ·  Version 2.1</w:t>
      </w:r>
    </w:p>
    <w:p>
      <w:pPr>
        <w:spacing w:before="0" w:after="280"/>
        <w:jc w:val="center"/>
      </w:pPr>
      <w:r>
        <w:rPr>
          <w:rFonts w:ascii="Arial" w:hAnsi="Arial"/>
          <w:b w:val="0"/>
          <w:i w:val="0"/>
          <w:color w:val="666666"/>
          <w:sz w:val="18"/>
        </w:rPr>
        <w:t>Co Creator LLC (dba LEF Ai)  ·  Living Eden Frameworks  ·  lefliving.com  ·  NV LLC  ·  EIN on file  ·  Founder: Zontonnia Moore  ·  Patent Pending: U.S. App. No. 63/993,278  ·  63/993,317</w:t>
      </w:r>
    </w:p>
    <w:p>
      <w:pPr>
        <w:spacing w:before="280" w:after="80"/>
        <w:jc w:val="left"/>
        <w:pBdr>
          <w:bottom w:val="single" w:sz="6" w:space="1" w:color="1F3864"/>
        </w:pBdr>
      </w:pPr>
      <w:r>
        <w:rPr>
          <w:rFonts w:ascii="Arial" w:hAnsi="Arial"/>
          <w:b/>
          <w:i w:val="0"/>
          <w:color w:val="1F3864"/>
          <w:sz w:val="30"/>
        </w:rPr>
        <w:t>Section 1: Strategic Overview</w:t>
      </w:r>
    </w:p>
    <w:p>
      <w:pPr>
        <w:spacing w:before="0" w:after="120"/>
        <w:jc w:val="left"/>
      </w:pPr>
      <w:r>
        <w:rPr>
          <w:rFonts w:ascii="Arial" w:hAnsi="Arial"/>
          <w:b w:val="0"/>
          <w:i w:val="0"/>
          <w:color w:val="000000"/>
          <w:sz w:val="22"/>
        </w:rPr>
        <w:t>Primary strategic shift as of March 2026: LEF Ed. Logistics is being built as a long-term district vendor, not an acquisition target. Design constraint: build the tool that teachers actually open every day.</w:t>
      </w:r>
    </w:p>
    <w:p>
      <w:pPr>
        <w:spacing w:before="0" w:after="120"/>
        <w:jc w:val="left"/>
      </w:pPr>
      <w:r>
        <w:rPr>
          <w:rFonts w:ascii="Arial" w:hAnsi="Arial"/>
          <w:b w:val="0"/>
          <w:i w:val="0"/>
          <w:color w:val="000000"/>
          <w:sz w:val="22"/>
        </w:rPr>
        <w:t>The "Living Garden" framing governs all positioning: LEF Ed sits at the intersection of four forces — roster data (Clever), assessment data (NWEA, FastBridge, Renaissance STAR), school staff (teachers, principals, school psychologists), and action (Khan Academy, IXL, DreamBox, parent study packets, IEP narratives). LEF Ed is not a dashboard. It is an Instructional Navigator — the system that connects all four forces and turns their intersection into precision action.</w:t>
      </w:r>
    </w:p>
    <w:p>
      <w:pPr>
        <w:spacing w:before="80" w:after="120"/>
      </w:pPr>
      <w:r>
        <w:rPr>
          <w:rFonts w:ascii="Arial" w:hAnsi="Arial"/>
          <w:b/>
          <w:i w:val="0"/>
          <w:color w:val="1F3864"/>
          <w:sz w:val="22"/>
        </w:rPr>
        <w:t xml:space="preserve">Tone Guidance: </w:t>
      </w:r>
      <w:r>
        <w:rPr>
          <w:rFonts w:ascii="Arial" w:hAnsi="Arial"/>
          <w:b w:val="0"/>
          <w:i w:val="0"/>
          <w:color w:val="000000"/>
          <w:sz w:val="22"/>
        </w:rPr>
        <w:t>Teachers are not "insight-poor." They are drowning in data saturation from fragmented systems. LEF Ed is their Administrative Co-Pilot — it respects their expertise while removing the cognitive overhead of synthesizing disconnected data. Frame teachers as Architects of their students' academic paths. LEF Ed is the tool that makes their architectural vision legible and executable.</w:t>
      </w:r>
    </w:p>
    <w:p>
      <w:pPr>
        <w:spacing w:before="280" w:after="80"/>
        <w:jc w:val="left"/>
        <w:pBdr>
          <w:bottom w:val="single" w:sz="6" w:space="1" w:color="1F3864"/>
        </w:pBdr>
      </w:pPr>
      <w:r>
        <w:rPr>
          <w:rFonts w:ascii="Arial" w:hAnsi="Arial"/>
          <w:b/>
          <w:i w:val="0"/>
          <w:color w:val="1F3864"/>
          <w:sz w:val="30"/>
        </w:rPr>
        <w:t>Section 2: Go-to-Market Positioning</w:t>
      </w:r>
    </w:p>
    <w:p>
      <w:pPr>
        <w:spacing w:before="0" w:after="120"/>
        <w:jc w:val="left"/>
      </w:pPr>
      <w:r>
        <w:rPr>
          <w:rFonts w:ascii="Arial" w:hAnsi="Arial"/>
          <w:b w:val="0"/>
          <w:i w:val="0"/>
          <w:color w:val="000000"/>
          <w:sz w:val="22"/>
        </w:rPr>
        <w:t>Procurement chain: Teacher → Principal → District. Three user profiles:</w:t>
      </w:r>
    </w:p>
    <w:p>
      <w:pPr>
        <w:pStyle w:val="ListBullet"/>
        <w:spacing w:before="0" w:after="60"/>
        <w:ind w:left="360"/>
      </w:pPr>
      <w:r>
        <w:rPr>
          <w:rFonts w:ascii="Arial" w:hAnsi="Arial"/>
          <w:b/>
          <w:i w:val="0"/>
          <w:color w:val="000000"/>
          <w:sz w:val="22"/>
        </w:rPr>
        <w:t>Teacher</w:t>
      </w:r>
      <w:r>
        <w:rPr>
          <w:rFonts w:ascii="Arial" w:hAnsi="Arial"/>
          <w:b w:val="0"/>
          <w:i w:val="0"/>
          <w:color w:val="000000"/>
          <w:sz w:val="22"/>
        </w:rPr>
        <w:t xml:space="preserve"> — Diagnostic dashboard, tier view, autonomous intervention loop, smart groups, push to parent, assignment routing, study packets</w:t>
      </w:r>
    </w:p>
    <w:p>
      <w:pPr>
        <w:pStyle w:val="ListBullet"/>
        <w:spacing w:before="0" w:after="60"/>
        <w:ind w:left="360"/>
      </w:pPr>
      <w:r>
        <w:rPr>
          <w:rFonts w:ascii="Arial" w:hAnsi="Arial"/>
          <w:b/>
          <w:i w:val="0"/>
          <w:color w:val="000000"/>
          <w:sz w:val="22"/>
        </w:rPr>
        <w:t>Principal</w:t>
      </w:r>
      <w:r>
        <w:rPr>
          <w:rFonts w:ascii="Arial" w:hAnsi="Arial"/>
          <w:b w:val="0"/>
          <w:i w:val="0"/>
          <w:color w:val="000000"/>
          <w:sz w:val="22"/>
        </w:rPr>
        <w:t xml:space="preserve"> — Classroom intelligence, school rankings, mastery decay map, MTSS alignment, IEP stub (Phase 2)</w:t>
      </w:r>
    </w:p>
    <w:p>
      <w:pPr>
        <w:pStyle w:val="ListBullet"/>
        <w:spacing w:before="0" w:after="60"/>
        <w:ind w:left="360"/>
      </w:pPr>
      <w:r>
        <w:rPr>
          <w:rFonts w:ascii="Arial" w:hAnsi="Arial"/>
          <w:b/>
          <w:i w:val="0"/>
          <w:color w:val="000000"/>
          <w:sz w:val="22"/>
        </w:rPr>
        <w:t>District</w:t>
      </w:r>
      <w:r>
        <w:rPr>
          <w:rFonts w:ascii="Arial" w:hAnsi="Arial"/>
          <w:b w:val="0"/>
          <w:i w:val="0"/>
          <w:color w:val="000000"/>
          <w:sz w:val="22"/>
        </w:rPr>
        <w:t xml:space="preserve"> — Cross-school analytics, district rankings, curriculum effectiveness signals, roster-powered expansion</w:t>
      </w:r>
    </w:p>
    <w:p>
      <w:pPr>
        <w:spacing w:before="120" w:after="120"/>
        <w:jc w:val="left"/>
      </w:pPr>
      <w:r>
        <w:rPr>
          <w:rFonts w:ascii="Arial" w:hAnsi="Arial"/>
          <w:b w:val="0"/>
          <w:i w:val="0"/>
          <w:color w:val="000000"/>
          <w:sz w:val="22"/>
        </w:rPr>
        <w:t>Entry point: Grade-level diagnostic accuracy framed as professional credibility for teachers. Example: "Marcus has a prerequisite gap in Integer Operations cascading into Linear Equations — identified 6 weeks before the benchmark."</w:t>
      </w:r>
    </w:p>
    <w:p>
      <w:pPr>
        <w:spacing w:before="160" w:after="60"/>
        <w:jc w:val="left"/>
      </w:pPr>
      <w:r>
        <w:rPr>
          <w:rFonts w:ascii="Arial" w:hAnsi="Arial"/>
          <w:b/>
          <w:i w:val="0"/>
          <w:color w:val="1F3864"/>
          <w:sz w:val="24"/>
        </w:rPr>
        <w:t>Nevada District Priority Order</w:t>
      </w:r>
    </w:p>
    <w:p>
      <w:pPr>
        <w:spacing w:before="0" w:after="60"/>
        <w:ind w:left="576" w:hanging="360"/>
      </w:pPr>
      <w:r>
        <w:rPr>
          <w:rFonts w:ascii="Arial" w:hAnsi="Arial"/>
          <w:b w:val="0"/>
          <w:i w:val="0"/>
          <w:color w:val="000000"/>
          <w:sz w:val="22"/>
        </w:rPr>
        <w:t>1. Coral Academy (charter, pilot) — reference case</w:t>
      </w:r>
    </w:p>
    <w:p>
      <w:pPr>
        <w:spacing w:before="0" w:after="60"/>
        <w:ind w:left="576" w:hanging="360"/>
      </w:pPr>
      <w:r>
        <w:rPr>
          <w:rFonts w:ascii="Arial" w:hAnsi="Arial"/>
          <w:b w:val="0"/>
          <w:i w:val="0"/>
          <w:color w:val="000000"/>
          <w:sz w:val="22"/>
        </w:rPr>
        <w:t>2. Washoe CSD (WCSD) — progressive, data-driven, faster pilot cycles than CCSD. Key contact: Trish Shaffer (MTSS Director)</w:t>
      </w:r>
    </w:p>
    <w:p>
      <w:pPr>
        <w:spacing w:before="0" w:after="60"/>
        <w:ind w:left="576" w:hanging="360"/>
      </w:pPr>
      <w:r>
        <w:rPr>
          <w:rFonts w:ascii="Arial" w:hAnsi="Arial"/>
          <w:b w:val="0"/>
          <w:i w:val="0"/>
          <w:color w:val="000000"/>
          <w:sz w:val="22"/>
        </w:rPr>
        <w:t>3. SPCSA — State Public Charter School Authority authorizes 80+ NV charters. Key contact: Melissa Mackedon (Executive Director)</w:t>
      </w:r>
    </w:p>
    <w:p>
      <w:pPr>
        <w:spacing w:before="0" w:after="60"/>
        <w:ind w:left="576" w:hanging="360"/>
      </w:pPr>
      <w:r>
        <w:rPr>
          <w:rFonts w:ascii="Arial" w:hAnsi="Arial"/>
          <w:b w:val="0"/>
          <w:i w:val="0"/>
          <w:color w:val="000000"/>
          <w:sz w:val="22"/>
        </w:rPr>
        <w:t>4. CCSD — Largest Nevada district (~350 schools). Do not lead with CCSD. Approach after at least one district reference exists.</w:t>
      </w:r>
    </w:p>
    <w:p>
      <w:pPr>
        <w:spacing w:before="0" w:after="60"/>
        <w:ind w:left="576" w:hanging="360"/>
      </w:pPr>
      <w:r>
        <w:rPr>
          <w:rFonts w:ascii="Arial" w:hAnsi="Arial"/>
          <w:b w:val="0"/>
          <w:i w:val="0"/>
          <w:color w:val="000000"/>
          <w:sz w:val="22"/>
        </w:rPr>
        <w:t>5. NDE alignment — Priya Miller (Title I), Arian Katsimbras (Title IV-A), Christy McGill (MTSS Deputy Superintendent)</w:t>
      </w:r>
    </w:p>
    <w:p>
      <w:pPr>
        <w:spacing w:before="120" w:after="120"/>
        <w:jc w:val="left"/>
      </w:pPr>
      <w:r>
        <w:rPr>
          <w:rFonts w:ascii="Arial" w:hAnsi="Arial"/>
          <w:b w:val="0"/>
          <w:i w:val="0"/>
          <w:color w:val="000000"/>
          <w:sz w:val="22"/>
        </w:rPr>
        <w:t>Do not lead with the internal "red pill" restructuring language. The institutional resistance trigger is framing LEF Ed as replacing existing systems or exposing structural failures in current educational assessment. Lead with MTSS-A alignment, "no new platform required," and the Parent Study Packet as the tangible proof of life.</w:t>
      </w:r>
    </w:p>
    <w:p>
      <w:pPr>
        <w:spacing w:before="280" w:after="80"/>
        <w:jc w:val="left"/>
        <w:pBdr>
          <w:bottom w:val="single" w:sz="6" w:space="1" w:color="1F3864"/>
        </w:pBdr>
      </w:pPr>
      <w:r>
        <w:rPr>
          <w:rFonts w:ascii="Arial" w:hAnsi="Arial"/>
          <w:b/>
          <w:i w:val="0"/>
          <w:color w:val="1F3864"/>
          <w:sz w:val="30"/>
        </w:rPr>
        <w:t>Section 3: Vendor Model &amp; Compliance</w:t>
      </w:r>
    </w:p>
    <w:p>
      <w:pPr>
        <w:spacing w:before="0" w:after="120"/>
        <w:jc w:val="left"/>
      </w:pPr>
      <w:r>
        <w:rPr>
          <w:rFonts w:ascii="Arial" w:hAnsi="Arial"/>
          <w:b w:val="0"/>
          <w:i w:val="0"/>
          <w:color w:val="000000"/>
          <w:sz w:val="22"/>
        </w:rPr>
        <w:t>District licensing revenue. Procurement pathways: Title I, Title IV-A, ESSER fund successors. MTSS alignment positions LEF as a qualifying federal expenditure.</w:t>
      </w:r>
    </w:p>
    <w:p>
      <w:pPr>
        <w:spacing w:before="160" w:after="60"/>
        <w:jc w:val="left"/>
      </w:pPr>
      <w:r>
        <w:rPr>
          <w:rFonts w:ascii="Arial" w:hAnsi="Arial"/>
          <w:b/>
          <w:i w:val="0"/>
          <w:color w:val="1F3864"/>
          <w:sz w:val="24"/>
        </w:rPr>
        <w:t>Nevada Compliance Checklist (must be complete before district outreach)</w:t>
      </w:r>
    </w:p>
    <w:p>
      <w:pPr>
        <w:pStyle w:val="ListBullet"/>
        <w:spacing w:before="0" w:after="60"/>
        <w:ind w:left="360"/>
      </w:pPr>
      <w:r>
        <w:rPr>
          <w:rFonts w:ascii="Arial" w:hAnsi="Arial"/>
          <w:b w:val="0"/>
          <w:i w:val="0"/>
          <w:color w:val="000000"/>
          <w:sz w:val="22"/>
        </w:rPr>
        <w:t>Nevada State Controller's Vendor Portal — required to receive state/formula-funded payment</w:t>
      </w:r>
    </w:p>
    <w:p>
      <w:pPr>
        <w:pStyle w:val="ListBullet"/>
        <w:spacing w:before="0" w:after="60"/>
        <w:ind w:left="360"/>
      </w:pPr>
      <w:r>
        <w:rPr>
          <w:rFonts w:ascii="Arial" w:hAnsi="Arial"/>
          <w:b w:val="0"/>
          <w:i w:val="0"/>
          <w:color w:val="000000"/>
          <w:sz w:val="22"/>
        </w:rPr>
        <w:t>NevadaEPro — state procurement RFP notification platform</w:t>
      </w:r>
    </w:p>
    <w:p>
      <w:pPr>
        <w:pStyle w:val="ListBullet"/>
        <w:spacing w:before="0" w:after="60"/>
        <w:ind w:left="360"/>
      </w:pPr>
      <w:r>
        <w:rPr>
          <w:rFonts w:ascii="Arial" w:hAnsi="Arial"/>
          <w:b w:val="0"/>
          <w:i w:val="0"/>
          <w:color w:val="000000"/>
          <w:sz w:val="22"/>
        </w:rPr>
        <w:t>WCSD Vendor Portal — required before Trish Shaffer outreach</w:t>
      </w:r>
    </w:p>
    <w:p>
      <w:pPr>
        <w:pStyle w:val="ListBullet"/>
        <w:spacing w:before="0" w:after="60"/>
        <w:ind w:left="360"/>
      </w:pPr>
      <w:r>
        <w:rPr>
          <w:rFonts w:ascii="Arial" w:hAnsi="Arial"/>
          <w:b w:val="0"/>
          <w:i w:val="0"/>
          <w:color w:val="000000"/>
          <w:sz w:val="22"/>
        </w:rPr>
        <w:t>CCSD Bonfire — required before any CCSD procurement conversation</w:t>
      </w:r>
    </w:p>
    <w:p>
      <w:pPr>
        <w:pStyle w:val="ListBullet"/>
        <w:spacing w:before="0" w:after="60"/>
        <w:ind w:left="360"/>
      </w:pPr>
      <w:r>
        <w:rPr>
          <w:rFonts w:ascii="Arial" w:hAnsi="Arial"/>
          <w:b w:val="0"/>
          <w:i w:val="0"/>
          <w:color w:val="000000"/>
          <w:sz w:val="22"/>
        </w:rPr>
        <w:t>NWEA Instructional Connections Partner Program — verified partner badge</w:t>
      </w:r>
    </w:p>
    <w:p>
      <w:pPr>
        <w:pStyle w:val="ListBullet"/>
        <w:spacing w:before="0" w:after="60"/>
        <w:ind w:left="360"/>
      </w:pPr>
      <w:r>
        <w:rPr>
          <w:rFonts w:ascii="Arial" w:hAnsi="Arial"/>
          <w:b w:val="0"/>
          <w:i w:val="0"/>
          <w:color w:val="000000"/>
          <w:sz w:val="22"/>
        </w:rPr>
        <w:t>Nevada Exhibit E (Student Data Privacy Agreement / DPA) — standardized DPA used by WCSD and CCSD; having it pre-signed eliminates the legal delay that typically stalls EdTech pilots</w:t>
      </w:r>
    </w:p>
    <w:p>
      <w:pPr>
        <w:pStyle w:val="ListBullet"/>
        <w:spacing w:before="0" w:after="60"/>
        <w:ind w:left="360"/>
      </w:pPr>
      <w:r>
        <w:rPr>
          <w:rFonts w:ascii="Arial" w:hAnsi="Arial"/>
          <w:b w:val="0"/>
          <w:i w:val="0"/>
          <w:color w:val="000000"/>
          <w:sz w:val="22"/>
        </w:rPr>
        <w:t>Student Data Privacy Consortium (SDPC) membership — for WCSD/CCSD alignment</w:t>
      </w:r>
    </w:p>
    <w:p>
      <w:pPr>
        <w:pStyle w:val="ListBullet"/>
        <w:spacing w:before="0" w:after="60"/>
        <w:ind w:left="360"/>
      </w:pPr>
      <w:r>
        <w:rPr>
          <w:rFonts w:ascii="Arial" w:hAnsi="Arial"/>
          <w:b w:val="0"/>
          <w:i w:val="0"/>
          <w:color w:val="000000"/>
          <w:sz w:val="22"/>
        </w:rPr>
        <w:t>SilverFlume (NV Secretary of State) — active NV business license must be current</w:t>
      </w:r>
    </w:p>
    <w:p>
      <w:pPr>
        <w:spacing w:before="160" w:after="60"/>
        <w:jc w:val="left"/>
      </w:pPr>
      <w:r>
        <w:rPr>
          <w:rFonts w:ascii="Arial" w:hAnsi="Arial"/>
          <w:b/>
          <w:i w:val="0"/>
          <w:color w:val="1F3864"/>
          <w:sz w:val="24"/>
        </w:rPr>
        <w:t>Contract Structure (NRS Chapter 332)</w:t>
      </w:r>
    </w:p>
    <w:p>
      <w:pPr>
        <w:spacing w:before="0" w:after="120"/>
        <w:jc w:val="left"/>
      </w:pPr>
      <w:r>
        <w:rPr>
          <w:rFonts w:ascii="Arial" w:hAnsi="Arial"/>
          <w:b w:val="0"/>
          <w:i w:val="0"/>
          <w:color w:val="000000"/>
          <w:sz w:val="22"/>
        </w:rPr>
        <w:t>Nevada public school district contracts above ~$50K–$100K require competitive bidding (RFP). Two protections:</w:t>
      </w:r>
    </w:p>
    <w:p>
      <w:pPr>
        <w:spacing w:before="0" w:after="80"/>
        <w:ind w:left="360"/>
      </w:pPr>
      <w:r>
        <w:rPr>
          <w:rFonts w:ascii="Arial" w:hAnsi="Arial"/>
          <w:b/>
          <w:i w:val="0"/>
          <w:color w:val="000000"/>
          <w:sz w:val="22"/>
        </w:rPr>
        <w:t>1.  Renewal options</w:t>
      </w:r>
      <w:r>
        <w:rPr>
          <w:rFonts w:ascii="Arial" w:hAnsi="Arial"/>
          <w:b w:val="0"/>
          <w:i w:val="0"/>
          <w:color w:val="000000"/>
          <w:sz w:val="22"/>
        </w:rPr>
        <w:t xml:space="preserve"> — Renewal options written into original contracts do not require new RFPs. Standard structure: 3-year base term + 2 × 1-year renewal options (total 5 years before mandatory rebid). Loyalty pricing ($3.50 PSPY or reduced per-school rate) is written into original contract as a pre-agreed renewal option — no competitive process required to exercise.</w:t>
      </w:r>
    </w:p>
    <w:p>
      <w:pPr>
        <w:spacing w:before="0" w:after="120"/>
        <w:ind w:left="360"/>
      </w:pPr>
      <w:r>
        <w:rPr>
          <w:rFonts w:ascii="Arial" w:hAnsi="Arial"/>
          <w:b/>
          <w:i w:val="0"/>
          <w:color w:val="000000"/>
          <w:sz w:val="22"/>
        </w:rPr>
        <w:t>2.  Sole-source justification</w:t>
      </w:r>
      <w:r>
        <w:rPr>
          <w:rFonts w:ascii="Arial" w:hAnsi="Arial"/>
          <w:b w:val="0"/>
          <w:i w:val="0"/>
          <w:color w:val="000000"/>
          <w:sz w:val="22"/>
        </w:rPr>
        <w:t xml:space="preserve"> — Our patent applications (U.S. App. No. 63/993,278 · 63/993,317) qualify LEF Ed for sole-source procurement where no equivalent diagnostic system exists. Use this as the initial contract entry path — bypasses RFP entirely.</w:t>
      </w:r>
    </w:p>
    <w:p>
      <w:pPr>
        <w:spacing w:before="280" w:after="80"/>
        <w:jc w:val="left"/>
        <w:pBdr>
          <w:bottom w:val="single" w:sz="6" w:space="1" w:color="1F3864"/>
        </w:pBdr>
      </w:pPr>
      <w:r>
        <w:rPr>
          <w:rFonts w:ascii="Arial" w:hAnsi="Arial"/>
          <w:b/>
          <w:i w:val="0"/>
          <w:color w:val="1F3864"/>
          <w:sz w:val="30"/>
        </w:rPr>
        <w:t>Section 4: Competitive Position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864"/>
            <w:vAlign w:val="center"/>
          </w:tcPr>
          <w:p>
            <w:pPr>
              <w:spacing w:before="40" w:after="40"/>
              <w:jc w:val="left"/>
            </w:pPr>
            <w:r>
              <w:rPr>
                <w:rFonts w:ascii="Arial" w:hAnsi="Arial"/>
                <w:b/>
                <w:i w:val="0"/>
                <w:color w:val="FFFFFF"/>
                <w:sz w:val="20"/>
              </w:rPr>
              <w:t>Competitor</w:t>
            </w:r>
          </w:p>
        </w:tc>
        <w:tc>
          <w:tcPr>
            <w:tcW w:type="dxa" w:w="2016"/>
            <w:shd w:val="clear" w:color="auto" w:fill="1F3864"/>
            <w:vAlign w:val="center"/>
          </w:tcPr>
          <w:p>
            <w:pPr>
              <w:spacing w:before="40" w:after="40"/>
              <w:jc w:val="left"/>
            </w:pPr>
            <w:r>
              <w:rPr>
                <w:rFonts w:ascii="Arial" w:hAnsi="Arial"/>
                <w:b/>
                <w:i w:val="0"/>
                <w:color w:val="FFFFFF"/>
                <w:sz w:val="20"/>
              </w:rPr>
              <w:t>Category</w:t>
            </w:r>
          </w:p>
        </w:tc>
        <w:tc>
          <w:tcPr>
            <w:tcW w:type="dxa" w:w="2448"/>
            <w:shd w:val="clear" w:color="auto" w:fill="1F3864"/>
            <w:vAlign w:val="center"/>
          </w:tcPr>
          <w:p>
            <w:pPr>
              <w:spacing w:before="40" w:after="40"/>
              <w:jc w:val="left"/>
            </w:pPr>
            <w:r>
              <w:rPr>
                <w:rFonts w:ascii="Arial" w:hAnsi="Arial"/>
                <w:b/>
                <w:i w:val="0"/>
                <w:color w:val="FFFFFF"/>
                <w:sz w:val="20"/>
              </w:rPr>
              <w:t>What They Do</w:t>
            </w:r>
          </w:p>
        </w:tc>
        <w:tc>
          <w:tcPr>
            <w:tcW w:type="dxa" w:w="2880"/>
            <w:shd w:val="clear" w:color="auto" w:fill="1F3864"/>
            <w:vAlign w:val="center"/>
          </w:tcPr>
          <w:p>
            <w:pPr>
              <w:spacing w:before="40" w:after="40"/>
              <w:jc w:val="left"/>
            </w:pPr>
            <w:r>
              <w:rPr>
                <w:rFonts w:ascii="Arial" w:hAnsi="Arial"/>
                <w:b/>
                <w:i w:val="0"/>
                <w:color w:val="FFFFFF"/>
                <w:sz w:val="20"/>
              </w:rPr>
              <w:t>LEF's Advantage</w:t>
            </w:r>
          </w:p>
        </w:tc>
      </w:tr>
      <w:tr>
        <w:tc>
          <w:tcPr>
            <w:tcW w:type="dxa" w:w="2016"/>
            <w:shd w:val="clear" w:color="auto" w:fill="FFFFFF"/>
            <w:vAlign w:val="top"/>
          </w:tcPr>
          <w:p>
            <w:pPr>
              <w:spacing w:before="40" w:after="40"/>
              <w:jc w:val="left"/>
            </w:pPr>
            <w:r>
              <w:rPr>
                <w:rFonts w:ascii="Arial" w:hAnsi="Arial"/>
                <w:b w:val="0"/>
                <w:i w:val="0"/>
                <w:color w:val="000000"/>
                <w:sz w:val="20"/>
              </w:rPr>
              <w:t>Branching Minds</w:t>
            </w:r>
          </w:p>
        </w:tc>
        <w:tc>
          <w:tcPr>
            <w:tcW w:type="dxa" w:w="2016"/>
            <w:shd w:val="clear" w:color="auto" w:fill="FFFFFF"/>
            <w:vAlign w:val="top"/>
          </w:tcPr>
          <w:p>
            <w:pPr>
              <w:spacing w:before="40" w:after="40"/>
              <w:jc w:val="left"/>
            </w:pPr>
            <w:r>
              <w:rPr>
                <w:rFonts w:ascii="Arial" w:hAnsi="Arial"/>
                <w:b w:val="0"/>
                <w:i w:val="0"/>
                <w:color w:val="000000"/>
                <w:sz w:val="20"/>
              </w:rPr>
              <w:t>MTSS case management</w:t>
            </w:r>
          </w:p>
        </w:tc>
        <w:tc>
          <w:tcPr>
            <w:tcW w:type="dxa" w:w="2448"/>
            <w:shd w:val="clear" w:color="auto" w:fill="FFFFFF"/>
            <w:vAlign w:val="top"/>
          </w:tcPr>
          <w:p>
            <w:pPr>
              <w:spacing w:before="40" w:after="40"/>
              <w:jc w:val="left"/>
            </w:pPr>
            <w:r>
              <w:rPr>
                <w:rFonts w:ascii="Arial" w:hAnsi="Arial"/>
                <w:b w:val="0"/>
                <w:i w:val="0"/>
                <w:color w:val="000000"/>
                <w:sz w:val="20"/>
              </w:rPr>
              <w:t>Behavioral-first case workflows</w:t>
            </w:r>
          </w:p>
        </w:tc>
        <w:tc>
          <w:tcPr>
            <w:tcW w:type="dxa" w:w="2880"/>
            <w:shd w:val="clear" w:color="auto" w:fill="FFFFFF"/>
            <w:vAlign w:val="top"/>
          </w:tcPr>
          <w:p>
            <w:pPr>
              <w:spacing w:before="40" w:after="40"/>
              <w:jc w:val="left"/>
            </w:pPr>
            <w:r>
              <w:rPr>
                <w:rFonts w:ascii="Arial" w:hAnsi="Arial"/>
                <w:b w:val="0"/>
                <w:i w:val="0"/>
                <w:color w:val="000000"/>
                <w:sz w:val="20"/>
              </w:rPr>
              <w:t>No prerequisite DAG, no decay model, requires staff case management</w:t>
            </w:r>
          </w:p>
        </w:tc>
      </w:tr>
      <w:tr>
        <w:tc>
          <w:tcPr>
            <w:tcW w:type="dxa" w:w="2016"/>
            <w:shd w:val="clear" w:color="auto" w:fill="F2F2F2"/>
            <w:vAlign w:val="top"/>
          </w:tcPr>
          <w:p>
            <w:pPr>
              <w:spacing w:before="40" w:after="40"/>
              <w:jc w:val="left"/>
            </w:pPr>
            <w:r>
              <w:rPr>
                <w:rFonts w:ascii="Arial" w:hAnsi="Arial"/>
                <w:b w:val="0"/>
                <w:i w:val="0"/>
                <w:color w:val="000000"/>
                <w:sz w:val="20"/>
              </w:rPr>
              <w:t>Panorama Education</w:t>
            </w:r>
          </w:p>
        </w:tc>
        <w:tc>
          <w:tcPr>
            <w:tcW w:type="dxa" w:w="2016"/>
            <w:shd w:val="clear" w:color="auto" w:fill="F2F2F2"/>
            <w:vAlign w:val="top"/>
          </w:tcPr>
          <w:p>
            <w:pPr>
              <w:spacing w:before="40" w:after="40"/>
              <w:jc w:val="left"/>
            </w:pPr>
            <w:r>
              <w:rPr>
                <w:rFonts w:ascii="Arial" w:hAnsi="Arial"/>
                <w:b w:val="0"/>
                <w:i w:val="0"/>
                <w:color w:val="000000"/>
                <w:sz w:val="20"/>
              </w:rPr>
              <w:t>Survey dashboards</w:t>
            </w:r>
          </w:p>
        </w:tc>
        <w:tc>
          <w:tcPr>
            <w:tcW w:type="dxa" w:w="2448"/>
            <w:shd w:val="clear" w:color="auto" w:fill="F2F2F2"/>
            <w:vAlign w:val="top"/>
          </w:tcPr>
          <w:p>
            <w:pPr>
              <w:spacing w:before="40" w:after="40"/>
              <w:jc w:val="left"/>
            </w:pPr>
            <w:r>
              <w:rPr>
                <w:rFonts w:ascii="Arial" w:hAnsi="Arial"/>
                <w:b w:val="0"/>
                <w:i w:val="0"/>
                <w:color w:val="000000"/>
                <w:sz w:val="20"/>
              </w:rPr>
              <w:t>SEL/climate survey data</w:t>
            </w:r>
          </w:p>
        </w:tc>
        <w:tc>
          <w:tcPr>
            <w:tcW w:type="dxa" w:w="2880"/>
            <w:shd w:val="clear" w:color="auto" w:fill="F2F2F2"/>
            <w:vAlign w:val="top"/>
          </w:tcPr>
          <w:p>
            <w:pPr>
              <w:spacing w:before="40" w:after="40"/>
              <w:jc w:val="left"/>
            </w:pPr>
            <w:r>
              <w:rPr>
                <w:rFonts w:ascii="Arial" w:hAnsi="Arial"/>
                <w:b w:val="0"/>
                <w:i w:val="0"/>
                <w:color w:val="000000"/>
                <w:sz w:val="20"/>
              </w:rPr>
              <w:t>No academic diagnostic logic whatsoever</w:t>
            </w:r>
          </w:p>
        </w:tc>
      </w:tr>
      <w:tr>
        <w:tc>
          <w:tcPr>
            <w:tcW w:type="dxa" w:w="2016"/>
            <w:shd w:val="clear" w:color="auto" w:fill="FFFFFF"/>
            <w:vAlign w:val="top"/>
          </w:tcPr>
          <w:p>
            <w:pPr>
              <w:spacing w:before="40" w:after="40"/>
              <w:jc w:val="left"/>
            </w:pPr>
            <w:r>
              <w:rPr>
                <w:rFonts w:ascii="Arial" w:hAnsi="Arial"/>
                <w:b w:val="0"/>
                <w:i w:val="0"/>
                <w:color w:val="000000"/>
                <w:sz w:val="20"/>
              </w:rPr>
              <w:t>i-Ready (Curriculum Associates)</w:t>
            </w:r>
          </w:p>
        </w:tc>
        <w:tc>
          <w:tcPr>
            <w:tcW w:type="dxa" w:w="2016"/>
            <w:shd w:val="clear" w:color="auto" w:fill="FFFFFF"/>
            <w:vAlign w:val="top"/>
          </w:tcPr>
          <w:p>
            <w:pPr>
              <w:spacing w:before="40" w:after="40"/>
              <w:jc w:val="left"/>
            </w:pPr>
            <w:r>
              <w:rPr>
                <w:rFonts w:ascii="Arial" w:hAnsi="Arial"/>
                <w:b w:val="0"/>
                <w:i w:val="0"/>
                <w:color w:val="000000"/>
                <w:sz w:val="20"/>
              </w:rPr>
              <w:t>Intervention placement</w:t>
            </w:r>
          </w:p>
        </w:tc>
        <w:tc>
          <w:tcPr>
            <w:tcW w:type="dxa" w:w="2448"/>
            <w:shd w:val="clear" w:color="auto" w:fill="FFFFFF"/>
            <w:vAlign w:val="top"/>
          </w:tcPr>
          <w:p>
            <w:pPr>
              <w:spacing w:before="40" w:after="40"/>
              <w:jc w:val="left"/>
            </w:pPr>
            <w:r>
              <w:rPr>
                <w:rFonts w:ascii="Arial" w:hAnsi="Arial"/>
                <w:b w:val="0"/>
                <w:i w:val="0"/>
                <w:color w:val="000000"/>
                <w:sz w:val="20"/>
              </w:rPr>
              <w:t>"Black box" adaptive placement</w:t>
            </w:r>
          </w:p>
        </w:tc>
        <w:tc>
          <w:tcPr>
            <w:tcW w:type="dxa" w:w="2880"/>
            <w:shd w:val="clear" w:color="auto" w:fill="FFFFFF"/>
            <w:vAlign w:val="top"/>
          </w:tcPr>
          <w:p>
            <w:pPr>
              <w:spacing w:before="40" w:after="40"/>
              <w:jc w:val="left"/>
            </w:pPr>
            <w:r>
              <w:rPr>
                <w:rFonts w:ascii="Arial" w:hAnsi="Arial"/>
                <w:b w:val="0"/>
                <w:i w:val="0"/>
                <w:color w:val="000000"/>
                <w:sz w:val="20"/>
              </w:rPr>
              <w:t>No root cause traceability; no prerequisite genealogy; no forward prediction</w:t>
            </w:r>
          </w:p>
        </w:tc>
      </w:tr>
      <w:tr>
        <w:tc>
          <w:tcPr>
            <w:tcW w:type="dxa" w:w="2016"/>
            <w:shd w:val="clear" w:color="auto" w:fill="F2F2F2"/>
            <w:vAlign w:val="top"/>
          </w:tcPr>
          <w:p>
            <w:pPr>
              <w:spacing w:before="40" w:after="40"/>
              <w:jc w:val="left"/>
            </w:pPr>
            <w:r>
              <w:rPr>
                <w:rFonts w:ascii="Arial" w:hAnsi="Arial"/>
                <w:b w:val="0"/>
                <w:i w:val="0"/>
                <w:color w:val="000000"/>
                <w:sz w:val="20"/>
              </w:rPr>
              <w:t>aimswebPlus (Pearson)</w:t>
            </w:r>
          </w:p>
        </w:tc>
        <w:tc>
          <w:tcPr>
            <w:tcW w:type="dxa" w:w="2016"/>
            <w:shd w:val="clear" w:color="auto" w:fill="F2F2F2"/>
            <w:vAlign w:val="top"/>
          </w:tcPr>
          <w:p>
            <w:pPr>
              <w:spacing w:before="40" w:after="40"/>
              <w:jc w:val="left"/>
            </w:pPr>
            <w:r>
              <w:rPr>
                <w:rFonts w:ascii="Arial" w:hAnsi="Arial"/>
                <w:b w:val="0"/>
                <w:i w:val="0"/>
                <w:color w:val="000000"/>
                <w:sz w:val="20"/>
              </w:rPr>
              <w:t>MTSS progress monitoring</w:t>
            </w:r>
          </w:p>
        </w:tc>
        <w:tc>
          <w:tcPr>
            <w:tcW w:type="dxa" w:w="2448"/>
            <w:shd w:val="clear" w:color="auto" w:fill="F2F2F2"/>
            <w:vAlign w:val="top"/>
          </w:tcPr>
          <w:p>
            <w:pPr>
              <w:spacing w:before="40" w:after="40"/>
              <w:jc w:val="left"/>
            </w:pPr>
            <w:r>
              <w:rPr>
                <w:rFonts w:ascii="Arial" w:hAnsi="Arial"/>
                <w:b w:val="0"/>
                <w:i w:val="0"/>
                <w:color w:val="000000"/>
                <w:sz w:val="20"/>
              </w:rPr>
              <w:t>Gold standard for SPED tracking</w:t>
            </w:r>
          </w:p>
        </w:tc>
        <w:tc>
          <w:tcPr>
            <w:tcW w:type="dxa" w:w="2880"/>
            <w:shd w:val="clear" w:color="auto" w:fill="F2F2F2"/>
            <w:vAlign w:val="top"/>
          </w:tcPr>
          <w:p>
            <w:pPr>
              <w:spacing w:before="40" w:after="40"/>
              <w:jc w:val="left"/>
            </w:pPr>
            <w:r>
              <w:rPr>
                <w:rFonts w:ascii="Arial" w:hAnsi="Arial"/>
                <w:b w:val="0"/>
                <w:i w:val="0"/>
                <w:color w:val="000000"/>
                <w:sz w:val="20"/>
              </w:rPr>
              <w:t>Assessment tool only — no reasoning layer</w:t>
            </w:r>
          </w:p>
        </w:tc>
      </w:tr>
      <w:tr>
        <w:tc>
          <w:tcPr>
            <w:tcW w:type="dxa" w:w="2016"/>
            <w:shd w:val="clear" w:color="auto" w:fill="FFFFFF"/>
            <w:vAlign w:val="top"/>
          </w:tcPr>
          <w:p>
            <w:pPr>
              <w:spacing w:before="40" w:after="40"/>
              <w:jc w:val="left"/>
            </w:pPr>
            <w:r>
              <w:rPr>
                <w:rFonts w:ascii="Arial" w:hAnsi="Arial"/>
                <w:b w:val="0"/>
                <w:i w:val="0"/>
                <w:color w:val="000000"/>
                <w:sz w:val="20"/>
              </w:rPr>
              <w:t>FastBridge (Illuminate/Renaissance)</w:t>
            </w:r>
          </w:p>
        </w:tc>
        <w:tc>
          <w:tcPr>
            <w:tcW w:type="dxa" w:w="2016"/>
            <w:shd w:val="clear" w:color="auto" w:fill="FFFFFF"/>
            <w:vAlign w:val="top"/>
          </w:tcPr>
          <w:p>
            <w:pPr>
              <w:spacing w:before="40" w:after="40"/>
              <w:jc w:val="left"/>
            </w:pPr>
            <w:r>
              <w:rPr>
                <w:rFonts w:ascii="Arial" w:hAnsi="Arial"/>
                <w:b w:val="0"/>
                <w:i w:val="0"/>
                <w:color w:val="000000"/>
                <w:sz w:val="20"/>
              </w:rPr>
              <w:t>CBM screening</w:t>
            </w:r>
          </w:p>
        </w:tc>
        <w:tc>
          <w:tcPr>
            <w:tcW w:type="dxa" w:w="2448"/>
            <w:shd w:val="clear" w:color="auto" w:fill="FFFFFF"/>
            <w:vAlign w:val="top"/>
          </w:tcPr>
          <w:p>
            <w:pPr>
              <w:spacing w:before="40" w:after="40"/>
              <w:jc w:val="left"/>
            </w:pPr>
            <w:r>
              <w:rPr>
                <w:rFonts w:ascii="Arial" w:hAnsi="Arial"/>
                <w:b w:val="0"/>
                <w:i w:val="0"/>
                <w:color w:val="000000"/>
                <w:sz w:val="20"/>
              </w:rPr>
              <w:t>Risk identification via percentile</w:t>
            </w:r>
          </w:p>
        </w:tc>
        <w:tc>
          <w:tcPr>
            <w:tcW w:type="dxa" w:w="2880"/>
            <w:shd w:val="clear" w:color="auto" w:fill="FFFFFF"/>
            <w:vAlign w:val="top"/>
          </w:tcPr>
          <w:p>
            <w:pPr>
              <w:spacing w:before="40" w:after="40"/>
              <w:jc w:val="left"/>
            </w:pPr>
            <w:r>
              <w:rPr>
                <w:rFonts w:ascii="Arial" w:hAnsi="Arial"/>
                <w:b w:val="0"/>
                <w:i w:val="0"/>
                <w:color w:val="000000"/>
                <w:sz w:val="20"/>
              </w:rPr>
              <w:t>Not a competitor — FastBridge identifies risk, LEF explains why and predicts what's next</w:t>
            </w:r>
          </w:p>
        </w:tc>
      </w:tr>
    </w:tbl>
    <w:p>
      <w:pPr>
        <w:spacing w:after="40"/>
      </w:pPr>
    </w:p>
    <w:p>
      <w:pPr>
        <w:spacing w:before="0" w:after="120"/>
        <w:jc w:val="left"/>
      </w:pPr>
      <w:r>
        <w:rPr>
          <w:rFonts w:ascii="Arial" w:hAnsi="Arial"/>
          <w:b w:val="0"/>
          <w:i w:val="0"/>
          <w:color w:val="000000"/>
          <w:sz w:val="22"/>
        </w:rPr>
        <w:t>Key differentiator: Neither Branching Minds, Panorama, i-Ready, aimswebPlus, nor FastBridge provides the prerequisite DAG, Ebbinghaus decay model, or autonomous intervention loop as core architecture. All require staff case management workflows. LEF requires teachers to do nothing except review outputs and push actions.</w:t>
      </w:r>
    </w:p>
    <w:p>
      <w:pPr>
        <w:spacing w:before="280" w:after="80"/>
        <w:jc w:val="left"/>
        <w:pBdr>
          <w:bottom w:val="single" w:sz="6" w:space="1" w:color="1F3864"/>
        </w:pBdr>
      </w:pPr>
      <w:r>
        <w:rPr>
          <w:rFonts w:ascii="Arial" w:hAnsi="Arial"/>
          <w:b/>
          <w:i w:val="0"/>
          <w:color w:val="1F3864"/>
          <w:sz w:val="30"/>
        </w:rPr>
        <w:t>Section 5: Core Reasoning Engine (8 Phases)</w:t>
      </w:r>
    </w:p>
    <w:p>
      <w:pPr>
        <w:spacing w:before="0" w:after="80"/>
        <w:ind w:left="360"/>
      </w:pPr>
      <w:r>
        <w:rPr>
          <w:rFonts w:ascii="Arial" w:hAnsi="Arial"/>
          <w:b/>
          <w:i w:val="0"/>
          <w:color w:val="1F3864"/>
          <w:sz w:val="22"/>
        </w:rPr>
        <w:t>1.  Data Intake</w:t>
      </w:r>
      <w:r>
        <w:rPr>
          <w:rFonts w:ascii="Arial" w:hAnsi="Arial"/>
          <w:b w:val="0"/>
          <w:i w:val="0"/>
          <w:color w:val="000000"/>
          <w:sz w:val="22"/>
        </w:rPr>
        <w:t xml:space="preserve"> — NWEA MAP Growth, Renaissance STAR, FastBridge (Phase 2 via OneRoster S2i), teacher-tagged assessments</w:t>
      </w:r>
    </w:p>
    <w:p>
      <w:pPr>
        <w:spacing w:before="0" w:after="80"/>
        <w:ind w:left="360"/>
      </w:pPr>
      <w:r>
        <w:rPr>
          <w:rFonts w:ascii="Arial" w:hAnsi="Arial"/>
          <w:b/>
          <w:i w:val="0"/>
          <w:color w:val="1F3864"/>
          <w:sz w:val="22"/>
        </w:rPr>
        <w:t>2.  Backward Traversal</w:t>
      </w:r>
      <w:r>
        <w:rPr>
          <w:rFonts w:ascii="Arial" w:hAnsi="Arial"/>
          <w:b w:val="0"/>
          <w:i w:val="0"/>
          <w:color w:val="000000"/>
          <w:sz w:val="22"/>
        </w:rPr>
        <w:t xml:space="preserve"> — Prerequisite DAG traversal to root cause; identifies Ghost Standards (decayed prerequisites from prior years)</w:t>
      </w:r>
    </w:p>
    <w:p>
      <w:pPr>
        <w:spacing w:before="0" w:after="80"/>
        <w:ind w:left="360"/>
      </w:pPr>
      <w:r>
        <w:rPr>
          <w:rFonts w:ascii="Arial" w:hAnsi="Arial"/>
          <w:b/>
          <w:i w:val="0"/>
          <w:color w:val="1F3864"/>
          <w:sz w:val="22"/>
        </w:rPr>
        <w:t>3.  Temporal Decay</w:t>
      </w:r>
      <w:r>
        <w:rPr>
          <w:rFonts w:ascii="Arial" w:hAnsi="Arial"/>
          <w:b w:val="0"/>
          <w:i w:val="0"/>
          <w:color w:val="000000"/>
          <w:sz w:val="22"/>
        </w:rPr>
        <w:t xml:space="preserve"> — Ebbinghaus forgetting curve: ADJUSTED_CONFIDENCE = BASE_SCORE × e^(−0.12 × t), floor 0.55</w:t>
      </w:r>
    </w:p>
    <w:p>
      <w:pPr>
        <w:spacing w:before="0" w:after="80"/>
        <w:ind w:left="360"/>
      </w:pPr>
      <w:r>
        <w:rPr>
          <w:rFonts w:ascii="Arial" w:hAnsi="Arial"/>
          <w:b/>
          <w:i w:val="0"/>
          <w:color w:val="1F3864"/>
          <w:sz w:val="22"/>
        </w:rPr>
        <w:t>4.  Pattern Recognition</w:t>
      </w:r>
      <w:r>
        <w:rPr>
          <w:rFonts w:ascii="Arial" w:hAnsi="Arial"/>
          <w:b w:val="0"/>
          <w:i w:val="0"/>
          <w:color w:val="000000"/>
          <w:sz w:val="22"/>
        </w:rPr>
        <w:t xml:space="preserve"> — Slip / Gap / Rot classification (temporary regression / missing instruction / decayed mastery)</w:t>
      </w:r>
    </w:p>
    <w:p>
      <w:pPr>
        <w:spacing w:before="0" w:after="80"/>
        <w:ind w:left="360"/>
      </w:pPr>
      <w:r>
        <w:rPr>
          <w:rFonts w:ascii="Arial" w:hAnsi="Arial"/>
          <w:b/>
          <w:i w:val="0"/>
          <w:color w:val="1F3864"/>
          <w:sz w:val="22"/>
        </w:rPr>
        <w:t>5.  Forward Cascade</w:t>
      </w:r>
      <w:r>
        <w:rPr>
          <w:rFonts w:ascii="Arial" w:hAnsi="Arial"/>
          <w:b w:val="0"/>
          <w:i w:val="0"/>
          <w:color w:val="000000"/>
          <w:sz w:val="22"/>
        </w:rPr>
        <w:t xml:space="preserve"> — Prerequisite propagation prediction (decay in Topic A cascades to Topics B and C — surfaced 4–8 weeks ahead)</w:t>
      </w:r>
    </w:p>
    <w:p>
      <w:pPr>
        <w:spacing w:before="0" w:after="80"/>
        <w:ind w:left="360"/>
      </w:pPr>
      <w:r>
        <w:rPr>
          <w:rFonts w:ascii="Arial" w:hAnsi="Arial"/>
          <w:b/>
          <w:i w:val="0"/>
          <w:color w:val="1F3864"/>
          <w:sz w:val="22"/>
        </w:rPr>
        <w:t>6.  Precision Routing</w:t>
      </w:r>
      <w:r>
        <w:rPr>
          <w:rFonts w:ascii="Arial" w:hAnsi="Arial"/>
          <w:b w:val="0"/>
          <w:i w:val="0"/>
          <w:color w:val="000000"/>
          <w:sz w:val="22"/>
        </w:rPr>
        <w:t xml:space="preserve"> — Student-to-intervention matching at unit level (Khan Academy, IXL, DreamBox)</w:t>
      </w:r>
    </w:p>
    <w:p>
      <w:pPr>
        <w:spacing w:before="0" w:after="80"/>
        <w:ind w:left="360"/>
      </w:pPr>
      <w:r>
        <w:rPr>
          <w:rFonts w:ascii="Arial" w:hAnsi="Arial"/>
          <w:b/>
          <w:i w:val="0"/>
          <w:color w:val="1F3864"/>
          <w:sz w:val="22"/>
        </w:rPr>
        <w:t>7.  Action Card Generation</w:t>
      </w:r>
      <w:r>
        <w:rPr>
          <w:rFonts w:ascii="Arial" w:hAnsi="Arial"/>
          <w:b w:val="0"/>
          <w:i w:val="0"/>
          <w:color w:val="000000"/>
          <w:sz w:val="22"/>
        </w:rPr>
        <w:t xml:space="preserve"> — Teacher-ready outputs; no teacher synthesis required</w:t>
      </w:r>
    </w:p>
    <w:p>
      <w:pPr>
        <w:spacing w:before="0" w:after="80"/>
        <w:ind w:left="360"/>
      </w:pPr>
      <w:r>
        <w:rPr>
          <w:rFonts w:ascii="Arial" w:hAnsi="Arial"/>
          <w:b/>
          <w:i w:val="0"/>
          <w:color w:val="1F3864"/>
          <w:sz w:val="22"/>
        </w:rPr>
        <w:t>8.  Confidence Scoring</w:t>
      </w:r>
      <w:r>
        <w:rPr>
          <w:rFonts w:ascii="Arial" w:hAnsi="Arial"/>
          <w:b w:val="0"/>
          <w:i w:val="0"/>
          <w:color w:val="000000"/>
          <w:sz w:val="22"/>
        </w:rPr>
        <w:t xml:space="preserve"> — Plain-language reasoning proof of work ("93.8% confident. The 6.2% risk is X. Verify by checking Y.")</w:t>
      </w:r>
    </w:p>
    <w:p>
      <w:pPr>
        <w:spacing w:before="280" w:after="80"/>
        <w:jc w:val="left"/>
        <w:pBdr>
          <w:bottom w:val="single" w:sz="6" w:space="1" w:color="1F3864"/>
        </w:pBdr>
      </w:pPr>
      <w:r>
        <w:rPr>
          <w:rFonts w:ascii="Arial" w:hAnsi="Arial"/>
          <w:b/>
          <w:i w:val="0"/>
          <w:color w:val="1F3864"/>
          <w:sz w:val="30"/>
        </w:rPr>
        <w:t>Section 6: Multi-Source Data Strategy</w:t>
      </w:r>
    </w:p>
    <w:p>
      <w:pPr>
        <w:spacing w:before="0" w:after="120"/>
        <w:jc w:val="left"/>
      </w:pPr>
      <w:r>
        <w:rPr>
          <w:rFonts w:ascii="Arial" w:hAnsi="Arial"/>
          <w:b w:val="0"/>
          <w:i w:val="0"/>
          <w:color w:val="000000"/>
          <w:sz w:val="22"/>
        </w:rPr>
        <w:t>LEF Ed is assessment-agnostic. The Phase 1/2/3 integration roadmap reflects business reality (focus on NWEA for Nevada pilot), not architectural limitation.</w:t>
      </w:r>
    </w:p>
    <w:p>
      <w:pPr>
        <w:spacing w:before="160" w:after="60"/>
        <w:jc w:val="left"/>
      </w:pPr>
      <w:r>
        <w:rPr>
          <w:rFonts w:ascii="Arial" w:hAnsi="Arial"/>
          <w:b/>
          <w:i w:val="0"/>
          <w:color w:val="1F3864"/>
          <w:sz w:val="24"/>
        </w:rPr>
        <w:t>Data Source Roles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864"/>
            <w:vAlign w:val="center"/>
          </w:tcPr>
          <w:p>
            <w:pPr>
              <w:spacing w:before="40" w:after="40"/>
              <w:jc w:val="left"/>
            </w:pPr>
            <w:r>
              <w:rPr>
                <w:rFonts w:ascii="Arial" w:hAnsi="Arial"/>
                <w:b/>
                <w:i w:val="0"/>
                <w:color w:val="FFFFFF"/>
                <w:sz w:val="20"/>
              </w:rPr>
              <w:t>Data Source</w:t>
            </w:r>
          </w:p>
        </w:tc>
        <w:tc>
          <w:tcPr>
            <w:tcW w:type="dxa" w:w="2880"/>
            <w:shd w:val="clear" w:color="auto" w:fill="1F3864"/>
            <w:vAlign w:val="center"/>
          </w:tcPr>
          <w:p>
            <w:pPr>
              <w:spacing w:before="40" w:after="40"/>
              <w:jc w:val="left"/>
            </w:pPr>
            <w:r>
              <w:rPr>
                <w:rFonts w:ascii="Arial" w:hAnsi="Arial"/>
                <w:b/>
                <w:i w:val="0"/>
                <w:color w:val="FFFFFF"/>
                <w:sz w:val="20"/>
              </w:rPr>
              <w:t>Role in LEF</w:t>
            </w:r>
          </w:p>
        </w:tc>
        <w:tc>
          <w:tcPr>
            <w:tcW w:type="dxa" w:w="2592"/>
            <w:shd w:val="clear" w:color="auto" w:fill="1F3864"/>
            <w:vAlign w:val="center"/>
          </w:tcPr>
          <w:p>
            <w:pPr>
              <w:spacing w:before="40" w:after="40"/>
              <w:jc w:val="left"/>
            </w:pPr>
            <w:r>
              <w:rPr>
                <w:rFonts w:ascii="Arial" w:hAnsi="Arial"/>
                <w:b/>
                <w:i w:val="0"/>
                <w:color w:val="FFFFFF"/>
                <w:sz w:val="20"/>
              </w:rPr>
              <w:t>Metaphor</w:t>
            </w:r>
          </w:p>
        </w:tc>
        <w:tc>
          <w:tcPr>
            <w:tcW w:type="dxa" w:w="1872"/>
            <w:shd w:val="clear" w:color="auto" w:fill="1F3864"/>
            <w:vAlign w:val="center"/>
          </w:tcPr>
          <w:p>
            <w:pPr>
              <w:spacing w:before="40" w:after="40"/>
              <w:jc w:val="left"/>
            </w:pPr>
            <w:r>
              <w:rPr>
                <w:rFonts w:ascii="Arial" w:hAnsi="Arial"/>
                <w:b/>
                <w:i w:val="0"/>
                <w:color w:val="FFFFFF"/>
                <w:sz w:val="20"/>
              </w:rPr>
              <w:t>Phase</w:t>
            </w:r>
          </w:p>
        </w:tc>
      </w:tr>
      <w:tr>
        <w:tc>
          <w:tcPr>
            <w:tcW w:type="dxa" w:w="2016"/>
            <w:shd w:val="clear" w:color="auto" w:fill="FFFFFF"/>
            <w:vAlign w:val="top"/>
          </w:tcPr>
          <w:p>
            <w:pPr>
              <w:spacing w:before="40" w:after="40"/>
              <w:jc w:val="left"/>
            </w:pPr>
            <w:r>
              <w:rPr>
                <w:rFonts w:ascii="Arial" w:hAnsi="Arial"/>
                <w:b w:val="0"/>
                <w:i w:val="0"/>
                <w:color w:val="000000"/>
                <w:sz w:val="20"/>
              </w:rPr>
              <w:t>NWEA MAP Growth</w:t>
            </w:r>
          </w:p>
        </w:tc>
        <w:tc>
          <w:tcPr>
            <w:tcW w:type="dxa" w:w="2880"/>
            <w:shd w:val="clear" w:color="auto" w:fill="FFFFFF"/>
            <w:vAlign w:val="top"/>
          </w:tcPr>
          <w:p>
            <w:pPr>
              <w:spacing w:before="40" w:after="40"/>
              <w:jc w:val="left"/>
            </w:pPr>
            <w:r>
              <w:rPr>
                <w:rFonts w:ascii="Arial" w:hAnsi="Arial"/>
                <w:b w:val="0"/>
                <w:i w:val="0"/>
                <w:color w:val="000000"/>
                <w:sz w:val="20"/>
              </w:rPr>
              <w:t>Benchmark baseline; growth norm calibration</w:t>
            </w:r>
          </w:p>
        </w:tc>
        <w:tc>
          <w:tcPr>
            <w:tcW w:type="dxa" w:w="2592"/>
            <w:shd w:val="clear" w:color="auto" w:fill="FFFFFF"/>
            <w:vAlign w:val="top"/>
          </w:tcPr>
          <w:p>
            <w:pPr>
              <w:spacing w:before="40" w:after="40"/>
              <w:jc w:val="left"/>
            </w:pPr>
            <w:r>
              <w:rPr>
                <w:rFonts w:ascii="Arial" w:hAnsi="Arial"/>
                <w:b w:val="0"/>
                <w:i w:val="0"/>
                <w:color w:val="000000"/>
                <w:sz w:val="20"/>
              </w:rPr>
              <w:t>"Altitude" — where the student is in the growth map</w:t>
            </w:r>
          </w:p>
        </w:tc>
        <w:tc>
          <w:tcPr>
            <w:tcW w:type="dxa" w:w="1872"/>
            <w:shd w:val="clear" w:color="auto" w:fill="FFFFFF"/>
            <w:vAlign w:val="top"/>
          </w:tcPr>
          <w:p>
            <w:pPr>
              <w:spacing w:before="40" w:after="40"/>
              <w:jc w:val="left"/>
            </w:pPr>
            <w:r>
              <w:rPr>
                <w:rFonts w:ascii="Arial" w:hAnsi="Arial"/>
                <w:b w:val="0"/>
                <w:i w:val="0"/>
                <w:color w:val="000000"/>
                <w:sz w:val="20"/>
              </w:rPr>
              <w:t>Phase 1 (active)</w:t>
            </w:r>
          </w:p>
        </w:tc>
      </w:tr>
      <w:tr>
        <w:tc>
          <w:tcPr>
            <w:tcW w:type="dxa" w:w="2016"/>
            <w:shd w:val="clear" w:color="auto" w:fill="F2F2F2"/>
            <w:vAlign w:val="top"/>
          </w:tcPr>
          <w:p>
            <w:pPr>
              <w:spacing w:before="40" w:after="40"/>
              <w:jc w:val="left"/>
            </w:pPr>
            <w:r>
              <w:rPr>
                <w:rFonts w:ascii="Arial" w:hAnsi="Arial"/>
                <w:b w:val="0"/>
                <w:i w:val="0"/>
                <w:color w:val="000000"/>
                <w:sz w:val="20"/>
              </w:rPr>
              <w:t>Renaissance STAR</w:t>
            </w:r>
          </w:p>
        </w:tc>
        <w:tc>
          <w:tcPr>
            <w:tcW w:type="dxa" w:w="2880"/>
            <w:shd w:val="clear" w:color="auto" w:fill="F2F2F2"/>
            <w:vAlign w:val="top"/>
          </w:tcPr>
          <w:p>
            <w:pPr>
              <w:spacing w:before="40" w:after="40"/>
              <w:jc w:val="left"/>
            </w:pPr>
            <w:r>
              <w:rPr>
                <w:rFonts w:ascii="Arial" w:hAnsi="Arial"/>
                <w:b w:val="0"/>
                <w:i w:val="0"/>
                <w:color w:val="000000"/>
                <w:sz w:val="20"/>
              </w:rPr>
              <w:t>Reading/math diagnostic granularity</w:t>
            </w:r>
          </w:p>
        </w:tc>
        <w:tc>
          <w:tcPr>
            <w:tcW w:type="dxa" w:w="2592"/>
            <w:shd w:val="clear" w:color="auto" w:fill="F2F2F2"/>
            <w:vAlign w:val="top"/>
          </w:tcPr>
          <w:p>
            <w:pPr>
              <w:spacing w:before="40" w:after="40"/>
              <w:jc w:val="left"/>
            </w:pPr>
            <w:r>
              <w:rPr>
                <w:rFonts w:ascii="Arial" w:hAnsi="Arial"/>
                <w:b w:val="0"/>
                <w:i w:val="0"/>
                <w:color w:val="000000"/>
                <w:sz w:val="20"/>
              </w:rPr>
              <w:t>Secondary altitude; subject-level detail</w:t>
            </w:r>
          </w:p>
        </w:tc>
        <w:tc>
          <w:tcPr>
            <w:tcW w:type="dxa" w:w="1872"/>
            <w:shd w:val="clear" w:color="auto" w:fill="F2F2F2"/>
            <w:vAlign w:val="top"/>
          </w:tcPr>
          <w:p>
            <w:pPr>
              <w:spacing w:before="40" w:after="40"/>
              <w:jc w:val="left"/>
            </w:pPr>
            <w:r>
              <w:rPr>
                <w:rFonts w:ascii="Arial" w:hAnsi="Arial"/>
                <w:b w:val="0"/>
                <w:i w:val="0"/>
                <w:color w:val="000000"/>
                <w:sz w:val="20"/>
              </w:rPr>
              <w:t>Phase 1 (active)</w:t>
            </w:r>
          </w:p>
        </w:tc>
      </w:tr>
      <w:tr>
        <w:tc>
          <w:tcPr>
            <w:tcW w:type="dxa" w:w="2016"/>
            <w:shd w:val="clear" w:color="auto" w:fill="FFFFFF"/>
            <w:vAlign w:val="top"/>
          </w:tcPr>
          <w:p>
            <w:pPr>
              <w:spacing w:before="40" w:after="40"/>
              <w:jc w:val="left"/>
            </w:pPr>
            <w:r>
              <w:rPr>
                <w:rFonts w:ascii="Arial" w:hAnsi="Arial"/>
                <w:b w:val="0"/>
                <w:i w:val="0"/>
                <w:color w:val="000000"/>
                <w:sz w:val="20"/>
              </w:rPr>
              <w:t>Clever</w:t>
            </w:r>
          </w:p>
        </w:tc>
        <w:tc>
          <w:tcPr>
            <w:tcW w:type="dxa" w:w="2880"/>
            <w:shd w:val="clear" w:color="auto" w:fill="FFFFFF"/>
            <w:vAlign w:val="top"/>
          </w:tcPr>
          <w:p>
            <w:pPr>
              <w:spacing w:before="40" w:after="40"/>
              <w:jc w:val="left"/>
            </w:pPr>
            <w:r>
              <w:rPr>
                <w:rFonts w:ascii="Arial" w:hAnsi="Arial"/>
                <w:b w:val="0"/>
                <w:i w:val="0"/>
                <w:color w:val="000000"/>
                <w:sz w:val="20"/>
              </w:rPr>
              <w:t>Roster data; student identity; classroom structure</w:t>
            </w:r>
          </w:p>
        </w:tc>
        <w:tc>
          <w:tcPr>
            <w:tcW w:type="dxa" w:w="2592"/>
            <w:shd w:val="clear" w:color="auto" w:fill="FFFFFF"/>
            <w:vAlign w:val="top"/>
          </w:tcPr>
          <w:p>
            <w:pPr>
              <w:spacing w:before="40" w:after="40"/>
              <w:jc w:val="left"/>
            </w:pPr>
            <w:r>
              <w:rPr>
                <w:rFonts w:ascii="Arial" w:hAnsi="Arial"/>
                <w:b w:val="0"/>
                <w:i w:val="0"/>
                <w:color w:val="000000"/>
                <w:sz w:val="20"/>
              </w:rPr>
              <w:t>The infrastructure</w:t>
            </w:r>
          </w:p>
        </w:tc>
        <w:tc>
          <w:tcPr>
            <w:tcW w:type="dxa" w:w="1872"/>
            <w:shd w:val="clear" w:color="auto" w:fill="FFFFFF"/>
            <w:vAlign w:val="top"/>
          </w:tcPr>
          <w:p>
            <w:pPr>
              <w:spacing w:before="40" w:after="40"/>
              <w:jc w:val="left"/>
            </w:pPr>
            <w:r>
              <w:rPr>
                <w:rFonts w:ascii="Arial" w:hAnsi="Arial"/>
                <w:b w:val="0"/>
                <w:i w:val="0"/>
                <w:color w:val="000000"/>
                <w:sz w:val="20"/>
              </w:rPr>
              <w:t>Phase 1 (active)</w:t>
            </w:r>
          </w:p>
        </w:tc>
      </w:tr>
      <w:tr>
        <w:tc>
          <w:tcPr>
            <w:tcW w:type="dxa" w:w="2016"/>
            <w:shd w:val="clear" w:color="auto" w:fill="F2F2F2"/>
            <w:vAlign w:val="top"/>
          </w:tcPr>
          <w:p>
            <w:pPr>
              <w:spacing w:before="40" w:after="40"/>
              <w:jc w:val="left"/>
            </w:pPr>
            <w:r>
              <w:rPr>
                <w:rFonts w:ascii="Arial" w:hAnsi="Arial"/>
                <w:b w:val="0"/>
                <w:i w:val="0"/>
                <w:color w:val="000000"/>
                <w:sz w:val="20"/>
              </w:rPr>
              <w:t>FastBridge (Illuminate)</w:t>
            </w:r>
          </w:p>
        </w:tc>
        <w:tc>
          <w:tcPr>
            <w:tcW w:type="dxa" w:w="2880"/>
            <w:shd w:val="clear" w:color="auto" w:fill="F2F2F2"/>
            <w:vAlign w:val="top"/>
          </w:tcPr>
          <w:p>
            <w:pPr>
              <w:spacing w:before="40" w:after="40"/>
              <w:jc w:val="left"/>
            </w:pPr>
            <w:r>
              <w:rPr>
                <w:rFonts w:ascii="Arial" w:hAnsi="Arial"/>
                <w:b w:val="0"/>
                <w:i w:val="0"/>
                <w:color w:val="000000"/>
                <w:sz w:val="20"/>
              </w:rPr>
              <w:t>High-frequency CBM; SAEBRS behavioral screening</w:t>
            </w:r>
          </w:p>
        </w:tc>
        <w:tc>
          <w:tcPr>
            <w:tcW w:type="dxa" w:w="2592"/>
            <w:shd w:val="clear" w:color="auto" w:fill="F2F2F2"/>
            <w:vAlign w:val="top"/>
          </w:tcPr>
          <w:p>
            <w:pPr>
              <w:spacing w:before="40" w:after="40"/>
              <w:jc w:val="left"/>
            </w:pPr>
            <w:r>
              <w:rPr>
                <w:rFonts w:ascii="Arial" w:hAnsi="Arial"/>
                <w:b w:val="0"/>
                <w:i w:val="0"/>
                <w:color w:val="000000"/>
                <w:sz w:val="20"/>
              </w:rPr>
              <w:t>"Ground Speed" — how fast they're moving through a skill</w:t>
            </w:r>
          </w:p>
        </w:tc>
        <w:tc>
          <w:tcPr>
            <w:tcW w:type="dxa" w:w="1872"/>
            <w:shd w:val="clear" w:color="auto" w:fill="F2F2F2"/>
            <w:vAlign w:val="top"/>
          </w:tcPr>
          <w:p>
            <w:pPr>
              <w:spacing w:before="40" w:after="40"/>
              <w:jc w:val="left"/>
            </w:pPr>
            <w:r>
              <w:rPr>
                <w:rFonts w:ascii="Arial" w:hAnsi="Arial"/>
                <w:b w:val="0"/>
                <w:i w:val="0"/>
                <w:color w:val="000000"/>
                <w:sz w:val="20"/>
              </w:rPr>
              <w:t>Phase 2 (OneRoster S2i import)</w:t>
            </w:r>
          </w:p>
        </w:tc>
      </w:tr>
      <w:tr>
        <w:tc>
          <w:tcPr>
            <w:tcW w:type="dxa" w:w="2016"/>
            <w:shd w:val="clear" w:color="auto" w:fill="FFFFFF"/>
            <w:vAlign w:val="top"/>
          </w:tcPr>
          <w:p>
            <w:pPr>
              <w:spacing w:before="40" w:after="40"/>
              <w:jc w:val="left"/>
            </w:pPr>
            <w:r>
              <w:rPr>
                <w:rFonts w:ascii="Arial" w:hAnsi="Arial"/>
                <w:b w:val="0"/>
                <w:i w:val="0"/>
                <w:color w:val="000000"/>
                <w:sz w:val="20"/>
              </w:rPr>
              <w:t>i-Ready</w:t>
            </w:r>
          </w:p>
        </w:tc>
        <w:tc>
          <w:tcPr>
            <w:tcW w:type="dxa" w:w="2880"/>
            <w:shd w:val="clear" w:color="auto" w:fill="FFFFFF"/>
            <w:vAlign w:val="top"/>
          </w:tcPr>
          <w:p>
            <w:pPr>
              <w:spacing w:before="40" w:after="40"/>
              <w:jc w:val="left"/>
            </w:pPr>
            <w:r>
              <w:rPr>
                <w:rFonts w:ascii="Arial" w:hAnsi="Arial"/>
                <w:b w:val="0"/>
                <w:i w:val="0"/>
                <w:color w:val="000000"/>
                <w:sz w:val="20"/>
              </w:rPr>
              <w:t>Intervention outcome tracking; adaptive placement signals</w:t>
            </w:r>
          </w:p>
        </w:tc>
        <w:tc>
          <w:tcPr>
            <w:tcW w:type="dxa" w:w="2592"/>
            <w:shd w:val="clear" w:color="auto" w:fill="FFFFFF"/>
            <w:vAlign w:val="top"/>
          </w:tcPr>
          <w:p>
            <w:pPr>
              <w:spacing w:before="40" w:after="40"/>
              <w:jc w:val="left"/>
            </w:pPr>
            <w:r>
              <w:rPr>
                <w:rFonts w:ascii="Arial" w:hAnsi="Arial"/>
                <w:b w:val="0"/>
                <w:i w:val="0"/>
                <w:color w:val="000000"/>
                <w:sz w:val="20"/>
              </w:rPr>
              <w:t>Platform effectiveness sensor</w:t>
            </w:r>
          </w:p>
        </w:tc>
        <w:tc>
          <w:tcPr>
            <w:tcW w:type="dxa" w:w="1872"/>
            <w:shd w:val="clear" w:color="auto" w:fill="FFFFFF"/>
            <w:vAlign w:val="top"/>
          </w:tcPr>
          <w:p>
            <w:pPr>
              <w:spacing w:before="40" w:after="40"/>
              <w:jc w:val="left"/>
            </w:pPr>
            <w:r>
              <w:rPr>
                <w:rFonts w:ascii="Arial" w:hAnsi="Arial"/>
                <w:b w:val="0"/>
                <w:i w:val="0"/>
                <w:color w:val="000000"/>
                <w:sz w:val="20"/>
              </w:rPr>
              <w:t>Phase 2–3</w:t>
            </w:r>
          </w:p>
        </w:tc>
      </w:tr>
      <w:tr>
        <w:tc>
          <w:tcPr>
            <w:tcW w:type="dxa" w:w="2016"/>
            <w:shd w:val="clear" w:color="auto" w:fill="F2F2F2"/>
            <w:vAlign w:val="top"/>
          </w:tcPr>
          <w:p>
            <w:pPr>
              <w:spacing w:before="40" w:after="40"/>
              <w:jc w:val="left"/>
            </w:pPr>
            <w:r>
              <w:rPr>
                <w:rFonts w:ascii="Arial" w:hAnsi="Arial"/>
                <w:b w:val="0"/>
                <w:i w:val="0"/>
                <w:color w:val="000000"/>
                <w:sz w:val="20"/>
              </w:rPr>
              <w:t>aimswebPlus</w:t>
            </w:r>
          </w:p>
        </w:tc>
        <w:tc>
          <w:tcPr>
            <w:tcW w:type="dxa" w:w="2880"/>
            <w:shd w:val="clear" w:color="auto" w:fill="F2F2F2"/>
            <w:vAlign w:val="top"/>
          </w:tcPr>
          <w:p>
            <w:pPr>
              <w:spacing w:before="40" w:after="40"/>
              <w:jc w:val="left"/>
            </w:pPr>
            <w:r>
              <w:rPr>
                <w:rFonts w:ascii="Arial" w:hAnsi="Arial"/>
                <w:b w:val="0"/>
                <w:i w:val="0"/>
                <w:color w:val="000000"/>
                <w:sz w:val="20"/>
              </w:rPr>
              <w:t>Deep SPED/MTSS progress monitoring</w:t>
            </w:r>
          </w:p>
        </w:tc>
        <w:tc>
          <w:tcPr>
            <w:tcW w:type="dxa" w:w="2592"/>
            <w:shd w:val="clear" w:color="auto" w:fill="F2F2F2"/>
            <w:vAlign w:val="top"/>
          </w:tcPr>
          <w:p>
            <w:pPr>
              <w:spacing w:before="40" w:after="40"/>
              <w:jc w:val="left"/>
            </w:pPr>
            <w:r>
              <w:rPr>
                <w:rFonts w:ascii="Arial" w:hAnsi="Arial"/>
                <w:b w:val="0"/>
                <w:i w:val="0"/>
                <w:color w:val="000000"/>
                <w:sz w:val="20"/>
              </w:rPr>
              <w:t>SPED-grade signal layer</w:t>
            </w:r>
          </w:p>
        </w:tc>
        <w:tc>
          <w:tcPr>
            <w:tcW w:type="dxa" w:w="1872"/>
            <w:shd w:val="clear" w:color="auto" w:fill="F2F2F2"/>
            <w:vAlign w:val="top"/>
          </w:tcPr>
          <w:p>
            <w:pPr>
              <w:spacing w:before="40" w:after="40"/>
              <w:jc w:val="left"/>
            </w:pPr>
            <w:r>
              <w:rPr>
                <w:rFonts w:ascii="Arial" w:hAnsi="Arial"/>
                <w:b w:val="0"/>
                <w:i w:val="0"/>
                <w:color w:val="000000"/>
                <w:sz w:val="20"/>
              </w:rPr>
              <w:t>Phase 2–3 (IEP module dependency)</w:t>
            </w:r>
          </w:p>
        </w:tc>
      </w:tr>
    </w:tbl>
    <w:p>
      <w:pPr>
        <w:spacing w:after="40"/>
      </w:pPr>
    </w:p>
    <w:p>
      <w:pPr>
        <w:spacing w:before="160" w:after="60"/>
        <w:jc w:val="left"/>
      </w:pPr>
      <w:r>
        <w:rPr>
          <w:rFonts w:ascii="Arial" w:hAnsi="Arial"/>
          <w:b/>
          <w:i w:val="0"/>
          <w:color w:val="1F3864"/>
          <w:sz w:val="24"/>
        </w:rPr>
        <w:t>OneRoster as the Master Key</w:t>
      </w:r>
    </w:p>
    <w:p>
      <w:pPr>
        <w:spacing w:before="0" w:after="120"/>
        <w:jc w:val="left"/>
      </w:pPr>
      <w:r>
        <w:rPr>
          <w:rFonts w:ascii="Arial" w:hAnsi="Arial"/>
          <w:b w:val="0"/>
          <w:i w:val="0"/>
          <w:color w:val="000000"/>
          <w:sz w:val="22"/>
        </w:rPr>
        <w:t>OneRoster 1EdTech API standard compatibility unlocks FastBridge (Illuminate/Renaissance), Infinite Campus, Skyward, and other platforms simultaneously without requiring direct integrations with each vendor's proprietary API. This is the Phase 2 prerequisite — build OneRoster before building FastBridge or any other Phase 2 integration.</w:t>
      </w:r>
    </w:p>
    <w:p>
      <w:pPr>
        <w:spacing w:before="0" w:after="120"/>
        <w:jc w:val="left"/>
      </w:pPr>
      <w:r>
        <w:rPr>
          <w:rFonts w:ascii="Arial" w:hAnsi="Arial"/>
          <w:b w:val="0"/>
          <w:i w:val="0"/>
          <w:color w:val="000000"/>
          <w:sz w:val="22"/>
        </w:rPr>
        <w:t>Note on FastBridge API: Illuminate (owned by Renaissance Learning) has a restrictive, pay-to-play partner program. OneRoster S2i flat file transfer is faster, cheaper, and district-neutral. When districts ask about FastBridge support: "LEF is OneRoster compatible. We ingest your FastBridge S2i reports via secure transfer."</w:t>
      </w:r>
    </w:p>
    <w:p>
      <w:pPr>
        <w:spacing w:before="160" w:after="60"/>
        <w:jc w:val="left"/>
      </w:pPr>
      <w:r>
        <w:rPr>
          <w:rFonts w:ascii="Arial" w:hAnsi="Arial"/>
          <w:b/>
          <w:i w:val="0"/>
          <w:color w:val="1F3864"/>
          <w:sz w:val="24"/>
        </w:rPr>
        <w:t>The Living Signal</w:t>
      </w:r>
    </w:p>
    <w:p>
      <w:pPr>
        <w:spacing w:before="0" w:after="120"/>
        <w:jc w:val="left"/>
      </w:pPr>
      <w:r>
        <w:rPr>
          <w:rFonts w:ascii="Arial" w:hAnsi="Arial"/>
          <w:b w:val="0"/>
          <w:i w:val="0"/>
          <w:color w:val="000000"/>
          <w:sz w:val="22"/>
        </w:rPr>
        <w:t>In Phase 3, LEF harmonizes NWEA (altitude) + FastBridge CBM (ground speed) + FastBridge SAEBRS (behavioral risk) into a single, continuous "Living Signal" per student. The Living Signal answers: "Is this student getting better or worse, in what way, for what structural reason, and what needs to happen by next Tuesday?" No existing platform constructs this signal. It is the permanent moat.</w:t>
      </w:r>
    </w:p>
    <w:p>
      <w:pPr>
        <w:spacing w:before="280" w:after="80"/>
        <w:jc w:val="left"/>
        <w:pBdr>
          <w:bottom w:val="single" w:sz="6" w:space="1" w:color="1F3864"/>
        </w:pBdr>
      </w:pPr>
      <w:r>
        <w:rPr>
          <w:rFonts w:ascii="Arial" w:hAnsi="Arial"/>
          <w:b/>
          <w:i w:val="0"/>
          <w:color w:val="1F3864"/>
          <w:sz w:val="30"/>
        </w:rPr>
        <w:t>Section 7: AI-Agnostic Architecture</w:t>
      </w:r>
    </w:p>
    <w:p>
      <w:pPr>
        <w:spacing w:before="0" w:after="120"/>
        <w:jc w:val="left"/>
      </w:pPr>
      <w:r>
        <w:rPr>
          <w:rFonts w:ascii="Arial" w:hAnsi="Arial"/>
          <w:b w:val="0"/>
          <w:i w:val="0"/>
          <w:color w:val="000000"/>
          <w:sz w:val="22"/>
        </w:rPr>
        <w:t>The reasoning layer sits on top of any underlying AI model (Claude, Gemini, Grok, Llama). Diagnostic accuracy is a function of LEF's architecture — the prerequisite DAG, the Ebbinghaus decay model, the Slip/Gap/Rot classification system — not the model it runs on. This is a regulatory and procurement advantage: districts can be assured that the diagnostic logic is auditable and model-independent.</w:t>
      </w:r>
    </w:p>
    <w:p>
      <w:pPr>
        <w:spacing w:before="280" w:after="80"/>
        <w:jc w:val="left"/>
        <w:pBdr>
          <w:bottom w:val="single" w:sz="6" w:space="1" w:color="1F3864"/>
        </w:pBdr>
      </w:pPr>
      <w:r>
        <w:rPr>
          <w:rFonts w:ascii="Arial" w:hAnsi="Arial"/>
          <w:b/>
          <w:i w:val="0"/>
          <w:color w:val="1F3864"/>
          <w:sz w:val="30"/>
        </w:rPr>
        <w:t>Section 8: Algorithm Transparency</w:t>
      </w:r>
    </w:p>
    <w:p>
      <w:pPr>
        <w:spacing w:before="0" w:after="120"/>
        <w:jc w:val="left"/>
      </w:pPr>
      <w:r>
        <w:rPr>
          <w:rFonts w:ascii="Arial" w:hAnsi="Arial"/>
          <w:b w:val="0"/>
          <w:i w:val="0"/>
          <w:color w:val="000000"/>
          <w:sz w:val="22"/>
        </w:rPr>
        <w:t>Every output includes plain-language reasoning proof of work. This is ahead of the EU AI Act and emerging US state-level AI-in-education explainability requirements by design. The 6.2% uncertainty is a feature: "I am 93.8% confident. The 6.2% risk is X. Verify by checking Y." Transparent uncertainty is a regulatory and RFP procurement advantage — competitors that produce black-box outputs are at a disadvantage as explainability requirements tighten.</w:t>
      </w:r>
    </w:p>
    <w:p>
      <w:pPr>
        <w:spacing w:before="280" w:after="80"/>
        <w:jc w:val="left"/>
        <w:pBdr>
          <w:bottom w:val="single" w:sz="6" w:space="1" w:color="1F3864"/>
        </w:pBdr>
      </w:pPr>
      <w:r>
        <w:rPr>
          <w:rFonts w:ascii="Arial" w:hAnsi="Arial"/>
          <w:b/>
          <w:i w:val="0"/>
          <w:color w:val="1F3864"/>
          <w:sz w:val="30"/>
        </w:rPr>
        <w:t>Section 9: The Autonomous Intervention Loop</w:t>
      </w:r>
    </w:p>
    <w:p>
      <w:pPr>
        <w:spacing w:before="0" w:after="60"/>
        <w:ind w:left="576" w:hanging="360"/>
      </w:pPr>
      <w:r>
        <w:rPr>
          <w:rFonts w:ascii="Arial" w:hAnsi="Arial"/>
          <w:b w:val="0"/>
          <w:i w:val="0"/>
          <w:color w:val="000000"/>
          <w:sz w:val="22"/>
        </w:rPr>
        <w:t>1. Intervention pushed to student (Khan Academy, IXL, DreamBox)</w:t>
      </w:r>
    </w:p>
    <w:p>
      <w:pPr>
        <w:spacing w:before="0" w:after="60"/>
        <w:ind w:left="576" w:hanging="360"/>
      </w:pPr>
      <w:r>
        <w:rPr>
          <w:rFonts w:ascii="Arial" w:hAnsi="Arial"/>
          <w:b w:val="0"/>
          <w:i w:val="0"/>
          <w:color w:val="000000"/>
          <w:sz w:val="22"/>
        </w:rPr>
        <w:t>2. LEF monitors health percentage on targeted topic</w:t>
      </w:r>
    </w:p>
    <w:p>
      <w:pPr>
        <w:spacing w:before="0" w:after="60"/>
        <w:ind w:left="576" w:hanging="360"/>
      </w:pPr>
      <w:r>
        <w:rPr>
          <w:rFonts w:ascii="Arial" w:hAnsi="Arial"/>
          <w:b w:val="0"/>
          <w:i w:val="0"/>
          <w:color w:val="000000"/>
          <w:sz w:val="22"/>
        </w:rPr>
        <w:t>3. Health improving → LEF queues next intervention in sequence</w:t>
      </w:r>
    </w:p>
    <w:p>
      <w:pPr>
        <w:spacing w:before="0" w:after="60"/>
        <w:ind w:left="576" w:hanging="360"/>
      </w:pPr>
      <w:r>
        <w:rPr>
          <w:rFonts w:ascii="Arial" w:hAnsi="Arial"/>
          <w:b w:val="0"/>
          <w:i w:val="0"/>
          <w:color w:val="000000"/>
          <w:sz w:val="22"/>
        </w:rPr>
        <w:t>4. Health not improving → LEF switches platform and monitors again</w:t>
      </w:r>
    </w:p>
    <w:p>
      <w:pPr>
        <w:spacing w:before="0" w:after="60"/>
        <w:ind w:left="576" w:hanging="360"/>
      </w:pPr>
      <w:r>
        <w:rPr>
          <w:rFonts w:ascii="Arial" w:hAnsi="Arial"/>
          <w:b w:val="0"/>
          <w:i w:val="0"/>
          <w:color w:val="000000"/>
          <w:sz w:val="22"/>
        </w:rPr>
        <w:t>5. No improvement across multiple platforms → "Step Back" — LEF traverses DAG upward to identify the blocking root topic (Ghost Standard), restarts loop at the foundational prerequisite skill</w:t>
      </w:r>
    </w:p>
    <w:p>
      <w:pPr>
        <w:spacing w:before="0" w:after="60"/>
        <w:ind w:left="576" w:hanging="360"/>
      </w:pPr>
      <w:r>
        <w:rPr>
          <w:rFonts w:ascii="Arial" w:hAnsi="Arial"/>
          <w:b w:val="0"/>
          <w:i w:val="0"/>
          <w:color w:val="000000"/>
          <w:sz w:val="22"/>
        </w:rPr>
        <w:t>6. Teacher sees only: current intervention, current status, next recommended action</w:t>
      </w:r>
    </w:p>
    <w:p>
      <w:pPr>
        <w:spacing w:before="120" w:after="120"/>
        <w:jc w:val="left"/>
      </w:pPr>
      <w:r>
        <w:rPr>
          <w:rFonts w:ascii="Arial" w:hAnsi="Arial"/>
          <w:b w:val="0"/>
          <w:i w:val="0"/>
          <w:color w:val="000000"/>
          <w:sz w:val="22"/>
        </w:rPr>
        <w:t>The "Step Back" logic is the proprietary moat against i-Ready. i-Ready places students into an adaptive track and continues drilling at grade level. When a student stalls, it increases difficulty. LEF steps back to find the Ghost Standard — the standard that decayed two or three years ago and is now blocking all forward progress. No existing platform does this automatically.</w:t>
      </w:r>
    </w:p>
    <w:p>
      <w:pPr>
        <w:spacing w:before="280" w:after="80"/>
        <w:jc w:val="left"/>
        <w:pBdr>
          <w:bottom w:val="single" w:sz="6" w:space="1" w:color="1F3864"/>
        </w:pBdr>
      </w:pPr>
      <w:r>
        <w:rPr>
          <w:rFonts w:ascii="Arial" w:hAnsi="Arial"/>
          <w:b/>
          <w:i w:val="0"/>
          <w:color w:val="1F3864"/>
          <w:sz w:val="30"/>
        </w:rPr>
        <w:t>Section 10: Feature Set by User Role</w:t>
      </w:r>
    </w:p>
    <w:tbl>
      <w:tblPr>
        <w:tblStyle w:val="TableGrid"/>
        <w:tblW w:type="auto" w:w="0"/>
        <w:jc w:val="left"/>
        <w:tblLook w:firstColumn="1" w:firstRow="1" w:lastColumn="0" w:lastRow="0" w:noHBand="0" w:noVBand="1" w:val="04A0"/>
      </w:tblPr>
      <w:tblGrid>
        <w:gridCol w:w="4680"/>
        <w:gridCol w:w="4680"/>
      </w:tblGrid>
      <w:tr>
        <w:tc>
          <w:tcPr>
            <w:tcW w:type="dxa" w:w="1872"/>
            <w:shd w:val="clear" w:color="auto" w:fill="1F3864"/>
            <w:vAlign w:val="center"/>
          </w:tcPr>
          <w:p>
            <w:pPr>
              <w:spacing w:before="40" w:after="40"/>
              <w:jc w:val="left"/>
            </w:pPr>
            <w:r>
              <w:rPr>
                <w:rFonts w:ascii="Arial" w:hAnsi="Arial"/>
                <w:b/>
                <w:i w:val="0"/>
                <w:color w:val="FFFFFF"/>
                <w:sz w:val="20"/>
              </w:rPr>
              <w:t>User Role</w:t>
            </w:r>
          </w:p>
        </w:tc>
        <w:tc>
          <w:tcPr>
            <w:tcW w:type="dxa" w:w="7488"/>
            <w:shd w:val="clear" w:color="auto" w:fill="1F3864"/>
            <w:vAlign w:val="center"/>
          </w:tcPr>
          <w:p>
            <w:pPr>
              <w:spacing w:before="40" w:after="40"/>
              <w:jc w:val="left"/>
            </w:pPr>
            <w:r>
              <w:rPr>
                <w:rFonts w:ascii="Arial" w:hAnsi="Arial"/>
                <w:b/>
                <w:i w:val="0"/>
                <w:color w:val="FFFFFF"/>
                <w:sz w:val="20"/>
              </w:rPr>
              <w:t>Features</w:t>
            </w:r>
          </w:p>
        </w:tc>
      </w:tr>
      <w:tr>
        <w:tc>
          <w:tcPr>
            <w:tcW w:type="dxa" w:w="1872"/>
            <w:shd w:val="clear" w:color="auto" w:fill="FFFFFF"/>
            <w:vAlign w:val="top"/>
          </w:tcPr>
          <w:p>
            <w:pPr>
              <w:spacing w:before="40" w:after="40"/>
              <w:jc w:val="left"/>
            </w:pPr>
            <w:r>
              <w:rPr>
                <w:rFonts w:ascii="Arial" w:hAnsi="Arial"/>
                <w:b w:val="0"/>
                <w:i w:val="0"/>
                <w:color w:val="000000"/>
                <w:sz w:val="20"/>
              </w:rPr>
            </w:r>
            <w:r>
              <w:rPr>
                <w:rFonts w:ascii="Arial" w:hAnsi="Arial"/>
                <w:b/>
                <w:i w:val="0"/>
                <w:color w:val="000000"/>
                <w:sz w:val="20"/>
              </w:rPr>
              <w:t>Teacher</w:t>
            </w:r>
            <w:r>
              <w:rPr>
                <w:rFonts w:ascii="Arial" w:hAnsi="Arial"/>
                <w:b w:val="0"/>
                <w:i w:val="0"/>
                <w:color w:val="000000"/>
                <w:sz w:val="20"/>
              </w:rPr>
            </w:r>
          </w:p>
        </w:tc>
        <w:tc>
          <w:tcPr>
            <w:tcW w:type="dxa" w:w="7488"/>
            <w:shd w:val="clear" w:color="auto" w:fill="FFFFFF"/>
            <w:vAlign w:val="top"/>
          </w:tcPr>
          <w:p>
            <w:pPr>
              <w:spacing w:before="40" w:after="40"/>
              <w:jc w:val="left"/>
            </w:pPr>
            <w:r>
              <w:rPr>
                <w:rFonts w:ascii="Arial" w:hAnsi="Arial"/>
                <w:b w:val="0"/>
                <w:i w:val="0"/>
                <w:color w:val="000000"/>
                <w:sz w:val="20"/>
              </w:rPr>
              <w:t>Tier Dashboard · Autonomous Intervention Loop · Smart Groups · Push to Parent (Study Packets) · Assignment Routing · Step Back Navigator · Diagnostic Confidence Score</w:t>
            </w:r>
          </w:p>
        </w:tc>
      </w:tr>
      <w:tr>
        <w:tc>
          <w:tcPr>
            <w:tcW w:type="dxa" w:w="1872"/>
            <w:shd w:val="clear" w:color="auto" w:fill="F2F2F2"/>
            <w:vAlign w:val="top"/>
          </w:tcPr>
          <w:p>
            <w:pPr>
              <w:spacing w:before="40" w:after="40"/>
              <w:jc w:val="left"/>
            </w:pPr>
            <w:r>
              <w:rPr>
                <w:rFonts w:ascii="Arial" w:hAnsi="Arial"/>
                <w:b w:val="0"/>
                <w:i w:val="0"/>
                <w:color w:val="000000"/>
                <w:sz w:val="20"/>
              </w:rPr>
            </w:r>
            <w:r>
              <w:rPr>
                <w:rFonts w:ascii="Arial" w:hAnsi="Arial"/>
                <w:b/>
                <w:i w:val="0"/>
                <w:color w:val="000000"/>
                <w:sz w:val="20"/>
              </w:rPr>
              <w:t>Principal</w:t>
            </w:r>
            <w:r>
              <w:rPr>
                <w:rFonts w:ascii="Arial" w:hAnsi="Arial"/>
                <w:b w:val="0"/>
                <w:i w:val="0"/>
                <w:color w:val="000000"/>
                <w:sz w:val="20"/>
              </w:rPr>
            </w:r>
          </w:p>
        </w:tc>
        <w:tc>
          <w:tcPr>
            <w:tcW w:type="dxa" w:w="7488"/>
            <w:shd w:val="clear" w:color="auto" w:fill="F2F2F2"/>
            <w:vAlign w:val="top"/>
          </w:tcPr>
          <w:p>
            <w:pPr>
              <w:spacing w:before="40" w:after="40"/>
              <w:jc w:val="left"/>
            </w:pPr>
            <w:r>
              <w:rPr>
                <w:rFonts w:ascii="Arial" w:hAnsi="Arial"/>
                <w:b w:val="0"/>
                <w:i w:val="0"/>
                <w:color w:val="000000"/>
                <w:sz w:val="20"/>
              </w:rPr>
              <w:t>Classroom Intelligence · School Mastery Decay Map · MTSS Alignment Reports · IEP Module stub (Phase 2) · Tier Distribution by Classroom</w:t>
            </w:r>
          </w:p>
        </w:tc>
      </w:tr>
      <w:tr>
        <w:tc>
          <w:tcPr>
            <w:tcW w:type="dxa" w:w="1872"/>
            <w:shd w:val="clear" w:color="auto" w:fill="FFFFFF"/>
            <w:vAlign w:val="top"/>
          </w:tcPr>
          <w:p>
            <w:pPr>
              <w:spacing w:before="40" w:after="40"/>
              <w:jc w:val="left"/>
            </w:pPr>
            <w:r>
              <w:rPr>
                <w:rFonts w:ascii="Arial" w:hAnsi="Arial"/>
                <w:b w:val="0"/>
                <w:i w:val="0"/>
                <w:color w:val="000000"/>
                <w:sz w:val="20"/>
              </w:rPr>
            </w:r>
            <w:r>
              <w:rPr>
                <w:rFonts w:ascii="Arial" w:hAnsi="Arial"/>
                <w:b/>
                <w:i w:val="0"/>
                <w:color w:val="000000"/>
                <w:sz w:val="20"/>
              </w:rPr>
              <w:t>District</w:t>
            </w:r>
            <w:r>
              <w:rPr>
                <w:rFonts w:ascii="Arial" w:hAnsi="Arial"/>
                <w:b w:val="0"/>
                <w:i w:val="0"/>
                <w:color w:val="000000"/>
                <w:sz w:val="20"/>
              </w:rPr>
            </w:r>
          </w:p>
        </w:tc>
        <w:tc>
          <w:tcPr>
            <w:tcW w:type="dxa" w:w="7488"/>
            <w:shd w:val="clear" w:color="auto" w:fill="FFFFFF"/>
            <w:vAlign w:val="top"/>
          </w:tcPr>
          <w:p>
            <w:pPr>
              <w:spacing w:before="40" w:after="40"/>
              <w:jc w:val="left"/>
            </w:pPr>
            <w:r>
              <w:rPr>
                <w:rFonts w:ascii="Arial" w:hAnsi="Arial"/>
                <w:b w:val="0"/>
                <w:i w:val="0"/>
                <w:color w:val="000000"/>
                <w:sz w:val="20"/>
              </w:rPr>
              <w:t>Cross-School Analytics · District Rankings · Curriculum Effectiveness Signal · Roster-Powered Expansion · SIS Integration (PowerSchool, Infinite Campus)</w:t>
            </w:r>
          </w:p>
        </w:tc>
      </w:tr>
    </w:tbl>
    <w:p>
      <w:pPr>
        <w:spacing w:after="40"/>
      </w:pPr>
    </w:p>
    <w:p>
      <w:pPr>
        <w:spacing w:before="280" w:after="80"/>
        <w:jc w:val="left"/>
        <w:pBdr>
          <w:bottom w:val="single" w:sz="6" w:space="1" w:color="1F3864"/>
        </w:pBdr>
      </w:pPr>
      <w:r>
        <w:rPr>
          <w:rFonts w:ascii="Arial" w:hAnsi="Arial"/>
          <w:b/>
          <w:i w:val="0"/>
          <w:color w:val="1F3864"/>
          <w:sz w:val="30"/>
        </w:rPr>
        <w:t>Section 11: Phase Roadmap</w:t>
      </w:r>
    </w:p>
    <w:p>
      <w:pPr>
        <w:spacing w:before="160" w:after="60"/>
        <w:jc w:val="left"/>
      </w:pPr>
      <w:r>
        <w:rPr>
          <w:rFonts w:ascii="Arial" w:hAnsi="Arial"/>
          <w:b/>
          <w:i w:val="0"/>
          <w:color w:val="1F3864"/>
          <w:sz w:val="24"/>
        </w:rPr>
        <w:t>Phase 1 — Core (Active)</w:t>
      </w:r>
    </w:p>
    <w:p>
      <w:pPr>
        <w:pStyle w:val="ListBullet"/>
        <w:spacing w:before="0" w:after="60"/>
        <w:ind w:left="360"/>
      </w:pPr>
      <w:r>
        <w:rPr>
          <w:rFonts w:ascii="Arial" w:hAnsi="Arial"/>
          <w:b w:val="0"/>
          <w:i w:val="0"/>
          <w:color w:val="000000"/>
          <w:sz w:val="22"/>
        </w:rPr>
        <w:t>NWEA MAP Growth + Clever roster integration</w:t>
      </w:r>
    </w:p>
    <w:p>
      <w:pPr>
        <w:pStyle w:val="ListBullet"/>
        <w:spacing w:before="0" w:after="60"/>
        <w:ind w:left="360"/>
      </w:pPr>
      <w:r>
        <w:rPr>
          <w:rFonts w:ascii="Arial" w:hAnsi="Arial"/>
          <w:b w:val="0"/>
          <w:i w:val="0"/>
          <w:color w:val="000000"/>
          <w:sz w:val="22"/>
        </w:rPr>
        <w:t>8-phase diagnostic engine</w:t>
      </w:r>
    </w:p>
    <w:p>
      <w:pPr>
        <w:pStyle w:val="ListBullet"/>
        <w:spacing w:before="0" w:after="60"/>
        <w:ind w:left="360"/>
      </w:pPr>
      <w:r>
        <w:rPr>
          <w:rFonts w:ascii="Arial" w:hAnsi="Arial"/>
          <w:b w:val="0"/>
          <w:i w:val="0"/>
          <w:color w:val="000000"/>
          <w:sz w:val="22"/>
        </w:rPr>
        <w:t>Teacher dashboard, principal dashboard, study packets</w:t>
      </w:r>
    </w:p>
    <w:p>
      <w:pPr>
        <w:pStyle w:val="ListBullet"/>
        <w:spacing w:before="0" w:after="60"/>
        <w:ind w:left="360"/>
      </w:pPr>
      <w:r>
        <w:rPr>
          <w:rFonts w:ascii="Arial" w:hAnsi="Arial"/>
          <w:b w:val="0"/>
          <w:i w:val="0"/>
          <w:color w:val="000000"/>
          <w:sz w:val="22"/>
        </w:rPr>
        <w:t>Coral Academy pilot and first paid contracts</w:t>
      </w:r>
    </w:p>
    <w:p>
      <w:pPr>
        <w:spacing w:before="160" w:after="60"/>
        <w:jc w:val="left"/>
      </w:pPr>
      <w:r>
        <w:rPr>
          <w:rFonts w:ascii="Arial" w:hAnsi="Arial"/>
          <w:b/>
          <w:i w:val="0"/>
          <w:color w:val="1F3864"/>
          <w:sz w:val="24"/>
        </w:rPr>
        <w:t>Phase 2 — Extended Integration</w:t>
      </w:r>
    </w:p>
    <w:p>
      <w:pPr>
        <w:pStyle w:val="ListBullet"/>
        <w:spacing w:before="0" w:after="60"/>
        <w:ind w:left="360"/>
      </w:pPr>
      <w:r>
        <w:rPr>
          <w:rFonts w:ascii="Arial" w:hAnsi="Arial"/>
          <w:b w:val="0"/>
          <w:i w:val="0"/>
          <w:color w:val="000000"/>
          <w:sz w:val="22"/>
        </w:rPr>
        <w:t>OneRoster API compliance (prerequisite for all Phase 2 integrations)</w:t>
      </w:r>
    </w:p>
    <w:p>
      <w:pPr>
        <w:pStyle w:val="ListBullet"/>
        <w:spacing w:before="0" w:after="60"/>
        <w:ind w:left="360"/>
      </w:pPr>
      <w:r>
        <w:rPr>
          <w:rFonts w:ascii="Arial" w:hAnsi="Arial"/>
          <w:b w:val="0"/>
          <w:i w:val="0"/>
          <w:color w:val="000000"/>
          <w:sz w:val="22"/>
        </w:rPr>
        <w:t>FastBridge S2i import (CBM screening, SAEBRS behavioral data)</w:t>
      </w:r>
    </w:p>
    <w:p>
      <w:pPr>
        <w:pStyle w:val="ListBullet"/>
        <w:spacing w:before="0" w:after="60"/>
        <w:ind w:left="360"/>
      </w:pPr>
      <w:r>
        <w:rPr>
          <w:rFonts w:ascii="Arial" w:hAnsi="Arial"/>
          <w:b w:val="0"/>
          <w:i w:val="0"/>
          <w:color w:val="000000"/>
          <w:sz w:val="22"/>
        </w:rPr>
        <w:t>Renaissance STAR expanded integration</w:t>
      </w:r>
    </w:p>
    <w:p>
      <w:pPr>
        <w:pStyle w:val="ListBullet"/>
        <w:spacing w:before="0" w:after="60"/>
        <w:ind w:left="360"/>
      </w:pPr>
      <w:r>
        <w:rPr>
          <w:rFonts w:ascii="Arial" w:hAnsi="Arial"/>
          <w:b w:val="0"/>
          <w:i w:val="0"/>
          <w:color w:val="000000"/>
          <w:sz w:val="22"/>
        </w:rPr>
        <w:t>IEP Content Intelligence (PLOP narratives, SMART goals, progress monitoring)</w:t>
      </w:r>
    </w:p>
    <w:p>
      <w:pPr>
        <w:pStyle w:val="ListBullet"/>
        <w:spacing w:before="0" w:after="60"/>
        <w:ind w:left="360"/>
      </w:pPr>
      <w:r>
        <w:rPr>
          <w:rFonts w:ascii="Arial" w:hAnsi="Arial"/>
          <w:b w:val="0"/>
          <w:i w:val="0"/>
          <w:color w:val="000000"/>
          <w:sz w:val="22"/>
        </w:rPr>
        <w:t>District view (aggregate of schools)</w:t>
      </w:r>
    </w:p>
    <w:p>
      <w:pPr>
        <w:pStyle w:val="ListBullet"/>
        <w:spacing w:before="0" w:after="60"/>
        <w:ind w:left="360"/>
      </w:pPr>
      <w:r>
        <w:rPr>
          <w:rFonts w:ascii="Arial" w:hAnsi="Arial"/>
          <w:b w:val="0"/>
          <w:i w:val="0"/>
          <w:color w:val="000000"/>
          <w:sz w:val="22"/>
        </w:rPr>
        <w:t>FastBridge SAEBRS behavioral correlation with academic decay</w:t>
      </w:r>
    </w:p>
    <w:p>
      <w:pPr>
        <w:spacing w:before="160" w:after="60"/>
        <w:jc w:val="left"/>
      </w:pPr>
      <w:r>
        <w:rPr>
          <w:rFonts w:ascii="Arial" w:hAnsi="Arial"/>
          <w:b/>
          <w:i w:val="0"/>
          <w:color w:val="1F3864"/>
          <w:sz w:val="24"/>
        </w:rPr>
        <w:t>Phase 3 — Intelligence Layer</w:t>
      </w:r>
    </w:p>
    <w:p>
      <w:pPr>
        <w:pStyle w:val="ListBullet"/>
        <w:spacing w:before="0" w:after="60"/>
        <w:ind w:left="360"/>
      </w:pPr>
      <w:r>
        <w:rPr>
          <w:rFonts w:ascii="Arial" w:hAnsi="Arial"/>
          <w:b w:val="0"/>
          <w:i w:val="0"/>
          <w:color w:val="000000"/>
          <w:sz w:val="22"/>
        </w:rPr>
        <w:t>Machine learning decay curves (move from static Ebbinghaus to dynamic model trained on LEF's own intervention outcome dataset)</w:t>
      </w:r>
    </w:p>
    <w:p>
      <w:pPr>
        <w:pStyle w:val="ListBullet"/>
        <w:spacing w:before="0" w:after="60"/>
        <w:ind w:left="360"/>
      </w:pPr>
      <w:r>
        <w:rPr>
          <w:rFonts w:ascii="Arial" w:hAnsi="Arial"/>
          <w:b w:val="0"/>
          <w:i w:val="0"/>
          <w:color w:val="000000"/>
          <w:sz w:val="22"/>
        </w:rPr>
        <w:t>Cross-subject academic dependency mapping (Math decay predicts Science degradation; Reading gaps surface as Math word problem failures)</w:t>
      </w:r>
    </w:p>
    <w:p>
      <w:pPr>
        <w:pStyle w:val="ListBullet"/>
        <w:spacing w:before="0" w:after="60"/>
        <w:ind w:left="360"/>
      </w:pPr>
      <w:r>
        <w:rPr>
          <w:rFonts w:ascii="Arial" w:hAnsi="Arial"/>
          <w:b w:val="0"/>
          <w:i w:val="0"/>
          <w:color w:val="000000"/>
          <w:sz w:val="22"/>
        </w:rPr>
        <w:t>Unified Living Signal (NWEA altitude + FastBridge ground speed + SAEBRS behavioral)</w:t>
      </w:r>
    </w:p>
    <w:p>
      <w:pPr>
        <w:pStyle w:val="ListBullet"/>
        <w:spacing w:before="0" w:after="60"/>
        <w:ind w:left="360"/>
      </w:pPr>
      <w:r>
        <w:rPr>
          <w:rFonts w:ascii="Arial" w:hAnsi="Arial"/>
          <w:b w:val="0"/>
          <w:i w:val="0"/>
          <w:color w:val="000000"/>
          <w:sz w:val="22"/>
        </w:rPr>
        <w:t>Federated Intelligence Layer — every intervention outcome becomes labeled training data. First-mover advantage: ~18–24 months before any competitor can replicate the outcome dataset.</w:t>
      </w:r>
    </w:p>
    <w:p>
      <w:pPr>
        <w:pStyle w:val="ListBullet"/>
        <w:spacing w:before="0" w:after="60"/>
        <w:ind w:left="360"/>
      </w:pPr>
      <w:r>
        <w:rPr>
          <w:rFonts w:ascii="Arial" w:hAnsi="Arial"/>
          <w:b w:val="0"/>
          <w:i w:val="0"/>
          <w:color w:val="000000"/>
          <w:sz w:val="22"/>
        </w:rPr>
        <w:t>i-Ready and aimswebPlus outcome tracking</w:t>
      </w:r>
    </w:p>
    <w:p>
      <w:pPr>
        <w:pStyle w:val="ListBullet"/>
        <w:spacing w:before="0" w:after="60"/>
        <w:ind w:left="360"/>
      </w:pPr>
      <w:r>
        <w:rPr>
          <w:rFonts w:ascii="Arial" w:hAnsi="Arial"/>
          <w:b w:val="0"/>
          <w:i w:val="0"/>
          <w:color w:val="000000"/>
          <w:sz w:val="22"/>
        </w:rPr>
        <w:t>IEP Live Assessment Session Module (voice recognition, school psych handoff)</w:t>
      </w:r>
    </w:p>
    <w:p>
      <w:pPr>
        <w:pStyle w:val="ListBullet"/>
        <w:spacing w:before="0" w:after="60"/>
        <w:ind w:left="360"/>
      </w:pPr>
      <w:r>
        <w:rPr>
          <w:rFonts w:ascii="Arial" w:hAnsi="Arial"/>
          <w:b w:val="0"/>
          <w:i w:val="0"/>
          <w:color w:val="000000"/>
          <w:sz w:val="22"/>
        </w:rPr>
        <w:t>API licensing layer (LEF reasoning engine available to assessment platforms and SIS providers)</w:t>
      </w:r>
    </w:p>
    <w:p>
      <w:pPr>
        <w:spacing w:before="280" w:after="80"/>
        <w:jc w:val="left"/>
        <w:pBdr>
          <w:bottom w:val="single" w:sz="6" w:space="1" w:color="1F3864"/>
        </w:pBdr>
      </w:pPr>
      <w:r>
        <w:rPr>
          <w:rFonts w:ascii="Arial" w:hAnsi="Arial"/>
          <w:b/>
          <w:i w:val="0"/>
          <w:color w:val="1F3864"/>
          <w:sz w:val="30"/>
        </w:rPr>
        <w:t>Section 12: IEP Content Intelligence (Phase 2)</w:t>
      </w:r>
    </w:p>
    <w:p>
      <w:pPr>
        <w:spacing w:before="0" w:after="120"/>
        <w:jc w:val="left"/>
      </w:pPr>
      <w:r>
        <w:rPr>
          <w:rFonts w:ascii="Arial" w:hAnsi="Arial"/>
          <w:b w:val="0"/>
          <w:i w:val="0"/>
          <w:color w:val="000000"/>
          <w:sz w:val="22"/>
        </w:rPr>
        <w:t>Special education attrition is driven by paperwork. LEF's diagnostic data is already structured for IEP compliance: PLOP narratives, SMART goal generation, progress monitoring data, accommodation recommendations. Estimated 5–10 hours saved per student per IEP cycle.</w:t>
      </w:r>
    </w:p>
    <w:p>
      <w:pPr>
        <w:spacing w:before="0" w:after="120"/>
        <w:jc w:val="left"/>
      </w:pPr>
      <w:r>
        <w:rPr>
          <w:rFonts w:ascii="Arial" w:hAnsi="Arial"/>
          <w:b w:val="0"/>
          <w:i w:val="0"/>
          <w:color w:val="000000"/>
          <w:sz w:val="22"/>
        </w:rPr>
        <w:t>Phase 1 of IEP module (PLOP narratives only) is a compelling standalone pilot for SPED teachers — does not require full IEP module to be complete.</w:t>
      </w:r>
    </w:p>
    <w:p>
      <w:pPr>
        <w:spacing w:before="0" w:after="120"/>
        <w:jc w:val="left"/>
      </w:pPr>
      <w:r>
        <w:rPr>
          <w:rFonts w:ascii="Arial" w:hAnsi="Arial"/>
          <w:b w:val="0"/>
          <w:i w:val="0"/>
          <w:color w:val="000000"/>
          <w:sz w:val="22"/>
        </w:rPr>
        <w:t>Phase 2 adds FastBridge SAEBRS behavioral data alongside academic decay for complete IEP packages.</w:t>
      </w:r>
    </w:p>
    <w:p>
      <w:pPr>
        <w:spacing w:before="0" w:after="120"/>
        <w:jc w:val="left"/>
      </w:pPr>
      <w:r>
        <w:rPr>
          <w:rFonts w:ascii="Arial" w:hAnsi="Arial"/>
          <w:b w:val="0"/>
          <w:i w:val="0"/>
          <w:color w:val="000000"/>
          <w:sz w:val="22"/>
        </w:rPr>
        <w:t>Phase 3 adds live assessment session module: visual AI instance conducts assessment, voice recognition captures transcript, school psychologist reviews and authorizes. Requires: IDEA compliance review, FERPA data handling, and school psychologist partnership before build begins.</w:t>
      </w:r>
    </w:p>
    <w:p>
      <w:pPr>
        <w:spacing w:before="280" w:after="80"/>
        <w:jc w:val="left"/>
        <w:pBdr>
          <w:bottom w:val="single" w:sz="6" w:space="1" w:color="1F3864"/>
        </w:pBdr>
      </w:pPr>
      <w:r>
        <w:rPr>
          <w:rFonts w:ascii="Arial" w:hAnsi="Arial"/>
          <w:b/>
          <w:i w:val="0"/>
          <w:color w:val="1F3864"/>
          <w:sz w:val="30"/>
        </w:rPr>
        <w:t>Section 13: Red Pill Capabilities (Phase 2–3, Internal Only)</w:t>
      </w:r>
    </w:p>
    <w:p>
      <w:pPr>
        <w:spacing w:before="0" w:after="120"/>
        <w:jc w:val="left"/>
      </w:pPr>
      <w:r>
        <w:rPr>
          <w:rFonts w:ascii="Arial" w:hAnsi="Arial"/>
          <w:b w:val="0"/>
          <w:i w:val="0"/>
          <w:color w:val="000000"/>
          <w:sz w:val="22"/>
        </w:rPr>
        <w:t>These capabilities are tactically withheld from public positioning to avoid triggering institutional resistance. They are the long-term structural transformation enabled by widespread LEF Ed adoption.</w:t>
      </w:r>
    </w:p>
    <w:p>
      <w:pPr>
        <w:pStyle w:val="ListBullet"/>
        <w:spacing w:before="0" w:after="60"/>
        <w:ind w:left="360"/>
      </w:pPr>
      <w:r>
        <w:rPr>
          <w:rFonts w:ascii="Arial" w:hAnsi="Arial"/>
          <w:b/>
          <w:i w:val="0"/>
          <w:color w:val="000000"/>
          <w:sz w:val="22"/>
        </w:rPr>
        <w:t>Assessment Timing Intelligence</w:t>
      </w:r>
      <w:r>
        <w:rPr>
          <w:rFonts w:ascii="Arial" w:hAnsi="Arial"/>
          <w:b w:val="0"/>
          <w:i w:val="0"/>
          <w:color w:val="000000"/>
          <w:sz w:val="22"/>
        </w:rPr>
        <w:t xml:space="preserve"> — Surfaces when benchmarks are catching decay too late. Key insight for NWEA and FastBridge partnership conversations.</w:t>
      </w:r>
    </w:p>
    <w:p>
      <w:pPr>
        <w:pStyle w:val="ListBullet"/>
        <w:spacing w:before="0" w:after="60"/>
        <w:ind w:left="360"/>
      </w:pPr>
      <w:r>
        <w:rPr>
          <w:rFonts w:ascii="Arial" w:hAnsi="Arial"/>
          <w:b/>
          <w:i w:val="0"/>
          <w:color w:val="000000"/>
          <w:sz w:val="22"/>
        </w:rPr>
        <w:t>Curriculum Effectiveness Signal</w:t>
      </w:r>
      <w:r>
        <w:rPr>
          <w:rFonts w:ascii="Arial" w:hAnsi="Arial"/>
          <w:b w:val="0"/>
          <w:i w:val="0"/>
          <w:color w:val="000000"/>
          <w:sz w:val="22"/>
        </w:rPr>
        <w:t xml:space="preserve"> — Surfaces which curriculum materials produce the least decay over time. Significant value for districts spending $20M+ annually on curriculum adoptions.</w:t>
      </w:r>
    </w:p>
    <w:p>
      <w:pPr>
        <w:pStyle w:val="ListBullet"/>
        <w:spacing w:before="0" w:after="60"/>
        <w:ind w:left="360"/>
      </w:pPr>
      <w:r>
        <w:rPr>
          <w:rFonts w:ascii="Arial" w:hAnsi="Arial"/>
          <w:b/>
          <w:i w:val="0"/>
          <w:color w:val="000000"/>
          <w:sz w:val="22"/>
        </w:rPr>
        <w:t>Teacher Effectiveness Layer</w:t>
      </w:r>
      <w:r>
        <w:rPr>
          <w:rFonts w:ascii="Arial" w:hAnsi="Arial"/>
          <w:b w:val="0"/>
          <w:i w:val="0"/>
          <w:color w:val="000000"/>
          <w:sz w:val="22"/>
        </w:rPr>
        <w:t xml:space="preserve"> — Correlation between diagnostic accuracy and teacher instructional decisions. Internal capability; politically sensitive. Build last.</w:t>
      </w:r>
    </w:p>
    <w:p>
      <w:pPr>
        <w:pStyle w:val="ListBullet"/>
        <w:spacing w:before="0" w:after="60"/>
        <w:ind w:left="360"/>
      </w:pPr>
      <w:r>
        <w:rPr>
          <w:rFonts w:ascii="Arial" w:hAnsi="Arial"/>
          <w:b/>
          <w:i w:val="0"/>
          <w:color w:val="000000"/>
          <w:sz w:val="22"/>
        </w:rPr>
        <w:t>Federated Intelligence</w:t>
      </w:r>
      <w:r>
        <w:rPr>
          <w:rFonts w:ascii="Arial" w:hAnsi="Arial"/>
          <w:b w:val="0"/>
          <w:i w:val="0"/>
          <w:color w:val="000000"/>
          <w:sz w:val="22"/>
        </w:rPr>
        <w:t xml:space="preserve"> — First-mover advantage estimated at 18–24 months. The outcome dataset is the moat no competitor can replicate.</w:t>
      </w:r>
    </w:p>
    <w:p>
      <w:pPr>
        <w:pStyle w:val="ListBullet"/>
        <w:spacing w:before="0" w:after="60"/>
        <w:ind w:left="360"/>
      </w:pPr>
      <w:r>
        <w:rPr>
          <w:rFonts w:ascii="Arial" w:hAnsi="Arial"/>
          <w:b/>
          <w:i w:val="0"/>
          <w:color w:val="000000"/>
          <w:sz w:val="22"/>
        </w:rPr>
        <w:t>Structural Transformation</w:t>
      </w:r>
      <w:r>
        <w:rPr>
          <w:rFonts w:ascii="Arial" w:hAnsi="Arial"/>
          <w:b w:val="0"/>
          <w:i w:val="0"/>
          <w:color w:val="000000"/>
          <w:sz w:val="22"/>
        </w:rPr>
        <w:t xml:space="preserve"> — Long-term vision: larger cohorts served with diagnostic confidence; students grouped by academic capability, not calendar year. Do not surface in any public-facing document.</w:t>
      </w:r>
    </w:p>
    <w:p>
      <w:pPr>
        <w:spacing w:before="280" w:after="80"/>
        <w:jc w:val="left"/>
        <w:pBdr>
          <w:bottom w:val="single" w:sz="6" w:space="1" w:color="1F3864"/>
        </w:pBdr>
      </w:pPr>
      <w:r>
        <w:rPr>
          <w:rFonts w:ascii="Arial" w:hAnsi="Arial"/>
          <w:b/>
          <w:i w:val="0"/>
          <w:color w:val="1F3864"/>
          <w:sz w:val="30"/>
        </w:rPr>
        <w:t>Section 14: Forward Vision</w:t>
      </w:r>
    </w:p>
    <w:p>
      <w:pPr>
        <w:pStyle w:val="ListBullet"/>
        <w:spacing w:before="0" w:after="60"/>
        <w:ind w:left="360"/>
      </w:pPr>
      <w:r>
        <w:rPr>
          <w:rFonts w:ascii="Arial" w:hAnsi="Arial"/>
          <w:b w:val="0"/>
          <w:i w:val="0"/>
          <w:color w:val="000000"/>
          <w:sz w:val="22"/>
        </w:rPr>
        <w:t>API layer: LEF reasoning engine licensed to assessment platforms (NWEA, FastBridge) and SIS providers as a B2B service</w:t>
      </w:r>
    </w:p>
    <w:p>
      <w:pPr>
        <w:pStyle w:val="ListBullet"/>
        <w:spacing w:before="0" w:after="60"/>
        <w:ind w:left="360"/>
      </w:pPr>
      <w:r>
        <w:rPr>
          <w:rFonts w:ascii="Arial" w:hAnsi="Arial"/>
          <w:b w:val="0"/>
          <w:i w:val="0"/>
          <w:color w:val="000000"/>
          <w:sz w:val="22"/>
        </w:rPr>
        <w:t>District licensing (primary revenue): charter schools → mid districts → enterprise (CCSD-scale)</w:t>
      </w:r>
    </w:p>
    <w:p>
      <w:pPr>
        <w:pStyle w:val="ListBullet"/>
        <w:spacing w:before="0" w:after="60"/>
        <w:ind w:left="360"/>
      </w:pPr>
      <w:r>
        <w:rPr>
          <w:rFonts w:ascii="Arial" w:hAnsi="Arial"/>
          <w:b w:val="0"/>
          <w:i w:val="0"/>
          <w:color w:val="000000"/>
          <w:sz w:val="22"/>
        </w:rPr>
        <w:t>Professional development partnerships (tertiary revenue): teacher training on using diagnostic data</w:t>
      </w:r>
    </w:p>
    <w:p>
      <w:pPr>
        <w:pStyle w:val="ListBullet"/>
        <w:spacing w:before="0" w:after="60"/>
        <w:ind w:left="360"/>
      </w:pPr>
      <w:r>
        <w:rPr>
          <w:rFonts w:ascii="Arial" w:hAnsi="Arial"/>
          <w:b w:val="0"/>
          <w:i w:val="0"/>
          <w:color w:val="000000"/>
          <w:sz w:val="22"/>
        </w:rPr>
        <w:t>LEF AI financial loop: LEF AI crypto trading metabolism funds LEF Ed pre-revenue operating costs (see LEF Ed_ LEF Seed Relationship.docx)</w:t>
      </w:r>
    </w:p>
    <w:p>
      <w:pPr>
        <w:pStyle w:val="ListBullet"/>
        <w:spacing w:before="0" w:after="60"/>
        <w:ind w:left="360"/>
      </w:pPr>
      <w:r>
        <w:rPr>
          <w:rFonts w:ascii="Arial" w:hAnsi="Arial"/>
          <w:b w:val="0"/>
          <w:i w:val="0"/>
          <w:color w:val="000000"/>
          <w:sz w:val="22"/>
        </w:rPr>
        <w:t>Token economy: documented in LEF LLC Master Strategy — not current runway priority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4" w:space="1" w:color="1F3864"/>
      </w:pBdr>
    </w:pPr>
    <w:r>
      <w:rPr>
        <w:rFonts w:ascii="Arial" w:hAnsi="Arial"/>
        <w:b w:val="0"/>
        <w:i w:val="0"/>
        <w:color w:val="666666"/>
        <w:sz w:val="16"/>
      </w:rPr>
      <w:t>INTERNAL — NDA REQUIRED  ·  Co Creator LLC (dba LEF Ai)  ·  Patent Pending: U.S. App. No. 63/993,278  ·  63/993,317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