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before="120"/>
        <w:jc w:val="center"/>
      </w:pPr>
      <w:r>
        <w:rPr>
          <w:rFonts w:ascii="Arial" w:cs="Arial" w:eastAsia="Arial" w:hAnsi="Arial"/>
          <w:b/>
          <w:bCs/>
          <w:i w:val="false"/>
          <w:iCs w:val="false"/>
          <w:color w:val="1B3A5C"/>
          <w:sz w:val="52"/>
          <w:szCs w:val="52"/>
        </w:rPr>
        <w:t xml:space="preserve">LEF Ed. Logistics</w:t>
      </w:r>
    </w:p>
    <w:p>
      <w:pPr>
        <w:spacing w:after="60" w:before="200"/>
        <w:jc w:val="center"/>
      </w:pPr>
      <w:r>
        <w:rPr>
          <w:rFonts w:ascii="Arial" w:cs="Arial" w:eastAsia="Arial" w:hAnsi="Arial"/>
          <w:i/>
          <w:iCs/>
          <w:color w:val="2E75B6"/>
          <w:sz w:val="36"/>
          <w:szCs w:val="36"/>
        </w:rPr>
        <w:t xml:space="preserve">The Precision Pilot</w:t>
      </w:r>
    </w:p>
    <w:p>
      <w:pPr>
        <w:pBdr>
          <w:bottom w:val="single" w:color="2E75B6" w:sz="6" w:space="1"/>
        </w:pBdr>
        <w:spacing w:after="200" w:before="60"/>
      </w:pPr>
    </w:p>
    <w:p>
      <w:pPr>
        <w:spacing w:after="120" w:before="200"/>
        <w:jc w:val="center"/>
      </w:pPr>
      <w:r>
        <w:rPr>
          <w:rFonts w:ascii="Arial" w:cs="Arial" w:eastAsia="Arial" w:hAnsi="Arial"/>
          <w:b w:val="false"/>
          <w:bCs w:val="false"/>
          <w:i w:val="false"/>
          <w:iCs w:val="false"/>
          <w:color w:val="333333"/>
          <w:sz w:val="26"/>
          <w:szCs w:val="26"/>
        </w:rPr>
        <w:t xml:space="preserve">A Unified Diagnostic Ecosystem for K–12 Growth</w:t>
      </w:r>
    </w:p>
    <w:p>
      <w:pPr>
        <w:spacing w:before="400"/>
        <w:jc w:val="center"/>
      </w:pPr>
      <w:r>
        <w:rPr>
          <w:rFonts w:ascii="Arial" w:cs="Arial" w:eastAsia="Arial" w:hAnsi="Arial"/>
          <w:i/>
          <w:iCs/>
          <w:color w:val="555555"/>
          <w:sz w:val="24"/>
          <w:szCs w:val="24"/>
        </w:rPr>
        <w:t xml:space="preserve">“A tool for teachers. Not another task.”</w:t>
      </w:r>
    </w:p>
    <w:p>
      <w:pPr>
        <w:spacing w:before="1200"/>
      </w:pPr>
    </w:p>
    <w:p>
      <w:pPr>
        <w:spacing w:after="120" w:before="120"/>
        <w:jc w:val="center"/>
      </w:pPr>
      <w:r>
        <w:rPr>
          <w:rFonts w:ascii="Arial" w:cs="Arial" w:eastAsia="Arial" w:hAnsi="Arial"/>
          <w:b w:val="false"/>
          <w:bCs w:val="false"/>
          <w:i w:val="false"/>
          <w:iCs w:val="false"/>
          <w:color w:val="555555"/>
          <w:sz w:val="20"/>
          <w:szCs w:val="20"/>
        </w:rPr>
        <w:t xml:space="preserve">Prepared by</w:t>
      </w:r>
    </w:p>
    <w:p>
      <w:pPr>
        <w:spacing w:after="120" w:before="60"/>
        <w:jc w:val="center"/>
      </w:pPr>
      <w:r>
        <w:rPr>
          <w:rFonts w:ascii="Arial" w:cs="Arial" w:eastAsia="Arial" w:hAnsi="Arial"/>
          <w:b/>
          <w:bCs/>
          <w:i w:val="false"/>
          <w:iCs w:val="false"/>
          <w:color w:val="1B3A5C"/>
          <w:sz w:val="22"/>
          <w:szCs w:val="22"/>
        </w:rPr>
        <w:t xml:space="preserve">Living Eden Frameworks LLC | DBA: Co Creators</w:t>
      </w:r>
    </w:p>
    <w:p>
      <w:pPr>
        <w:spacing w:after="120" w:before="40"/>
        <w:jc w:val="center"/>
      </w:pPr>
      <w:r>
        <w:rPr>
          <w:rFonts w:ascii="Arial" w:cs="Arial" w:eastAsia="Arial" w:hAnsi="Arial"/>
          <w:b w:val="false"/>
          <w:bCs w:val="false"/>
          <w:i w:val="false"/>
          <w:iCs w:val="false"/>
          <w:color w:val="555555"/>
          <w:sz w:val="18"/>
          <w:szCs w:val="18"/>
        </w:rPr>
        <w:t xml:space="preserve">NV20263528439 | EIN: 41-4285004</w:t>
      </w:r>
    </w:p>
    <w:p>
      <w:pPr>
        <w:spacing w:after="120" w:before="40"/>
        <w:jc w:val="center"/>
      </w:pPr>
      <w:r>
        <w:rPr>
          <w:rFonts w:ascii="Arial" w:cs="Arial" w:eastAsia="Arial" w:hAnsi="Arial"/>
          <w:b w:val="false"/>
          <w:bCs w:val="false"/>
          <w:i w:val="false"/>
          <w:iCs w:val="false"/>
          <w:color w:val="555555"/>
          <w:sz w:val="18"/>
          <w:szCs w:val="18"/>
        </w:rPr>
        <w:t xml:space="preserve">Patent Pending — U.S. Provisional Application Nos. 63/993,278 &amp; 63/993,317</w:t>
      </w:r>
    </w:p>
    <w:p>
      <w:pPr>
        <w:spacing w:after="120" w:before="120"/>
        <w:jc w:val="center"/>
      </w:pPr>
      <w:r>
        <w:rPr>
          <w:rFonts w:ascii="Arial" w:cs="Arial" w:eastAsia="Arial" w:hAnsi="Arial"/>
          <w:b w:val="false"/>
          <w:bCs w:val="false"/>
          <w:i w:val="false"/>
          <w:iCs w:val="false"/>
          <w:color w:val="333333"/>
          <w:sz w:val="20"/>
          <w:szCs w:val="20"/>
        </w:rPr>
        <w:t xml:space="preserve">Zontonnia Moore, Architect &amp; Founder</w:t>
      </w:r>
    </w:p>
    <w:p>
      <w:pPr>
        <w:spacing w:after="120" w:before="40"/>
        <w:jc w:val="center"/>
      </w:pPr>
      <w:r>
        <w:rPr>
          <w:rFonts w:ascii="Arial" w:cs="Arial" w:eastAsia="Arial" w:hAnsi="Arial"/>
          <w:b w:val="false"/>
          <w:bCs w:val="false"/>
          <w:i w:val="false"/>
          <w:iCs w:val="false"/>
          <w:color w:val="333333"/>
          <w:sz w:val="20"/>
          <w:szCs w:val="20"/>
        </w:rPr>
        <w:t xml:space="preserve">March 2026</w:t>
      </w:r>
    </w:p>
    <w:p>
      <w:pPr>
        <w:sectPr>
          <w:pgSz w:w="12240" w:h="15840"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color w:val="1B3A5C"/>
          <w:sz w:val="36"/>
          <w:szCs w:val="36"/>
        </w:rPr>
        <w:t xml:space="preserve">Chapter 1: The Philosophy of the Living Signal</w:t>
      </w:r>
    </w:p>
    <w:p>
      <w:pPr>
        <w:pStyle w:val="Heading2"/>
        <w:spacing w:after="180" w:before="240"/>
      </w:pPr>
      <w:r>
        <w:rPr>
          <w:rFonts w:ascii="Arial" w:cs="Arial" w:eastAsia="Arial" w:hAnsi="Arial"/>
          <w:b/>
          <w:bCs/>
          <w:color w:val="2E75B6"/>
          <w:sz w:val="30"/>
          <w:szCs w:val="30"/>
        </w:rPr>
        <w:t xml:space="preserve">Moving from Static Benchmarks to Dynamic Growth</w:t>
      </w:r>
    </w:p>
    <w:p>
      <w:pPr>
        <w:spacing w:after="120" w:before="120"/>
        <w:jc w:val="left"/>
      </w:pPr>
      <w:r>
        <w:rPr>
          <w:rFonts w:ascii="Arial" w:cs="Arial" w:eastAsia="Arial" w:hAnsi="Arial"/>
          <w:b w:val="false"/>
          <w:bCs w:val="false"/>
          <w:i w:val="false"/>
          <w:iCs w:val="false"/>
          <w:color w:val="333333"/>
          <w:sz w:val="22"/>
          <w:szCs w:val="22"/>
        </w:rPr>
        <w:t xml:space="preserve">The current K–12 landscape is defined by data saturation. Districts collect millions of data points through platforms like NWEA MAP Growth, Renaissance STAR, and Fastbridge, yet this data overwhelmingly arrives as a post-mortem — telling educators where a student failed weeks after the opportunity for intervention passed. Schools see dashboards. They see scores go up or down. What they do not see is the structural logic underneath: the decaying prerequisite that is about to cascade into three future failures, or the mis-routed intervention that is treating a symptom instead of a root cause.</w:t>
      </w:r>
    </w:p>
    <w:p>
      <w:pPr>
        <w:spacing w:after="120" w:before="120"/>
        <w:jc w:val="left"/>
      </w:pPr>
      <w:r>
        <w:rPr>
          <w:rFonts w:ascii="Arial" w:cs="Arial" w:eastAsia="Arial" w:hAnsi="Arial"/>
          <w:b/>
          <w:bCs/>
          <w:i w:val="false"/>
          <w:iCs w:val="false"/>
          <w:color w:val="333333"/>
          <w:sz w:val="22"/>
          <w:szCs w:val="22"/>
        </w:rPr>
        <w:t xml:space="preserve">This is not a product category gap. It is a reasoning layer that does not exist yet.</w:t>
      </w:r>
    </w:p>
    <w:p>
      <w:pPr>
        <w:spacing w:after="120" w:before="120"/>
        <w:jc w:val="left"/>
      </w:pPr>
      <w:r>
        <w:rPr>
          <w:rFonts w:ascii="Arial" w:cs="Arial" w:eastAsia="Arial" w:hAnsi="Arial"/>
          <w:b w:val="false"/>
          <w:bCs w:val="false"/>
          <w:i w:val="false"/>
          <w:iCs w:val="false"/>
          <w:color w:val="333333"/>
          <w:sz w:val="22"/>
          <w:szCs w:val="22"/>
        </w:rPr>
        <w:t xml:space="preserve">LEF Ed. Logistics introduces the Living Signal. By serving as a diagnostic reasoning layer between your roster infrastructure (Clever) and your assessments (NWEA MAP Growth, Renaissance STAR, Fastbridge), LEF applies an 8-phase diagnostic engine to transform static scores into predictive trajectories with measurable temporal dynamics.</w:t>
      </w:r>
    </w:p>
    <w:p>
      <w:pPr>
        <w:pStyle w:val="Heading3"/>
        <w:spacing w:after="180" w:before="240"/>
      </w:pPr>
      <w:r>
        <w:rPr>
          <w:rFonts w:ascii="Arial" w:cs="Arial" w:eastAsia="Arial" w:hAnsi="Arial"/>
          <w:b/>
          <w:bCs/>
          <w:color w:val="1B3A5C"/>
          <w:sz w:val="26"/>
          <w:szCs w:val="26"/>
        </w:rPr>
        <w:t xml:space="preserve">The 8-Phase Reasoning Engine</w:t>
      </w:r>
    </w:p>
    <w:p>
      <w:pPr>
        <w:spacing w:after="120" w:before="120"/>
        <w:jc w:val="left"/>
      </w:pPr>
      <w:r>
        <w:rPr>
          <w:rFonts w:ascii="Arial" w:cs="Arial" w:eastAsia="Arial" w:hAnsi="Arial"/>
          <w:b w:val="false"/>
          <w:bCs w:val="false"/>
          <w:i w:val="false"/>
          <w:iCs w:val="false"/>
          <w:color w:val="333333"/>
          <w:sz w:val="22"/>
          <w:szCs w:val="22"/>
        </w:rPr>
        <w:t xml:space="preserve">The engine is not a dashboard overlay. It is the product. Everything else is an output surface built on top of it:</w:t>
      </w:r>
    </w:p>
    <w:p>
      <w:pPr>
        <w:pStyle w:val="ListParagraph"/>
        <w:numPr>
          <w:ilvl w:val="0"/>
          <w:numId w:val="2"/>
        </w:numPr>
        <w:spacing w:after="60" w:before="60"/>
      </w:pPr>
      <w:r>
        <w:rPr>
          <w:rFonts w:ascii="Arial" w:cs="Arial" w:eastAsia="Arial" w:hAnsi="Arial"/>
          <w:b/>
          <w:bCs/>
          <w:color w:val="333333"/>
          <w:sz w:val="22"/>
          <w:szCs w:val="22"/>
        </w:rPr>
        <w:t xml:space="preserve">Phase 1 — Data Intake: </w:t>
      </w:r>
      <w:r>
        <w:rPr>
          <w:rFonts w:ascii="Arial" w:cs="Arial" w:eastAsia="Arial" w:hAnsi="Arial"/>
          <w:color w:val="333333"/>
          <w:sz w:val="22"/>
          <w:szCs w:val="22"/>
        </w:rPr>
        <w:t xml:space="preserve">Ingests topic-level assessment exports from NWEA MAP Growth, Renaissance STAR, Fastbridge, iReady, and teacher-tagged assessments.</w:t>
      </w:r>
    </w:p>
    <w:p>
      <w:pPr>
        <w:pStyle w:val="ListParagraph"/>
        <w:numPr>
          <w:ilvl w:val="0"/>
          <w:numId w:val="2"/>
        </w:numPr>
        <w:spacing w:after="60" w:before="60"/>
      </w:pPr>
      <w:r>
        <w:rPr>
          <w:rFonts w:ascii="Arial" w:cs="Arial" w:eastAsia="Arial" w:hAnsi="Arial"/>
          <w:b/>
          <w:bCs/>
          <w:color w:val="333333"/>
          <w:sz w:val="22"/>
          <w:szCs w:val="22"/>
        </w:rPr>
        <w:t xml:space="preserve">Phase 2 — Backward Traversal: </w:t>
      </w:r>
      <w:r>
        <w:rPr>
          <w:rFonts w:ascii="Arial" w:cs="Arial" w:eastAsia="Arial" w:hAnsi="Arial"/>
          <w:color w:val="333333"/>
          <w:sz w:val="22"/>
          <w:szCs w:val="22"/>
        </w:rPr>
        <w:t xml:space="preserve">Walks the prerequisite dependency graph (DAG) backward from an observed failure to find the root cause. If a 9th-grader is failing Linear Equations, the engine traces whether the actual failure started in 6th-grade Integer Operations.</w:t>
      </w:r>
    </w:p>
    <w:p>
      <w:pPr>
        <w:pStyle w:val="ListParagraph"/>
        <w:numPr>
          <w:ilvl w:val="0"/>
          <w:numId w:val="2"/>
        </w:numPr>
        <w:spacing w:after="60" w:before="60"/>
      </w:pPr>
      <w:r>
        <w:rPr>
          <w:rFonts w:ascii="Arial" w:cs="Arial" w:eastAsia="Arial" w:hAnsi="Arial"/>
          <w:b/>
          <w:bCs/>
          <w:color w:val="333333"/>
          <w:sz w:val="22"/>
          <w:szCs w:val="22"/>
        </w:rPr>
        <w:t xml:space="preserve">Phase 3 — Temporal Decay Modeling: </w:t>
      </w:r>
      <w:r>
        <w:rPr>
          <w:rFonts w:ascii="Arial" w:cs="Arial" w:eastAsia="Arial" w:hAnsi="Arial"/>
          <w:color w:val="333333"/>
          <w:sz w:val="22"/>
          <w:szCs w:val="22"/>
        </w:rPr>
        <w:t xml:space="preserve">Applies the Ebbinghaus forgetting curve to model mastery as a living signal, not a static score. The decay formula: ADJUSTED_CONFIDENCE = BASE_SCORE × e^(−0.12 × t), with a floor of 0.55. This tells you not just where a student is, but when mastery will cross into risk territory — before a test reveals it.</w:t>
      </w:r>
    </w:p>
    <w:p>
      <w:pPr>
        <w:pStyle w:val="ListParagraph"/>
        <w:numPr>
          <w:ilvl w:val="0"/>
          <w:numId w:val="2"/>
        </w:numPr>
        <w:spacing w:after="60" w:before="60"/>
      </w:pPr>
      <w:r>
        <w:rPr>
          <w:rFonts w:ascii="Arial" w:cs="Arial" w:eastAsia="Arial" w:hAnsi="Arial"/>
          <w:b/>
          <w:bCs/>
          <w:color w:val="333333"/>
          <w:sz w:val="22"/>
          <w:szCs w:val="22"/>
        </w:rPr>
        <w:t xml:space="preserve">Phase 4 — Pattern Recognition: </w:t>
      </w:r>
      <w:r>
        <w:rPr>
          <w:rFonts w:ascii="Arial" w:cs="Arial" w:eastAsia="Arial" w:hAnsi="Arial"/>
          <w:color w:val="333333"/>
          <w:sz w:val="22"/>
          <w:szCs w:val="22"/>
        </w:rPr>
        <w:t xml:space="preserve">Classifies every failure into one of three diagnostic categories: Slip (recent careless error, mastery intact), Gap (never acquired the knowledge), or Rot (acquired but decayed through inactivity). Each classification demands a different intervention strategy.</w:t>
      </w:r>
    </w:p>
    <w:p>
      <w:pPr>
        <w:pStyle w:val="ListParagraph"/>
        <w:numPr>
          <w:ilvl w:val="0"/>
          <w:numId w:val="2"/>
        </w:numPr>
        <w:spacing w:after="60" w:before="60"/>
      </w:pPr>
      <w:r>
        <w:rPr>
          <w:rFonts w:ascii="Arial" w:cs="Arial" w:eastAsia="Arial" w:hAnsi="Arial"/>
          <w:b/>
          <w:bCs/>
          <w:color w:val="333333"/>
          <w:sz w:val="22"/>
          <w:szCs w:val="22"/>
        </w:rPr>
        <w:t xml:space="preserve">Phase 5 — Forward Cascade Prediction: </w:t>
      </w:r>
      <w:r>
        <w:rPr>
          <w:rFonts w:ascii="Arial" w:cs="Arial" w:eastAsia="Arial" w:hAnsi="Arial"/>
          <w:color w:val="333333"/>
          <w:sz w:val="22"/>
          <w:szCs w:val="22"/>
        </w:rPr>
        <w:t xml:space="preserve">Projects where current gaps will propagate next across the prerequisite graph. A decaying Integer Operations score doesn't just affect Integer Operations — it predicts downstream failures in Ratios, Linear Equations, and beyond.</w:t>
      </w:r>
    </w:p>
    <w:p>
      <w:pPr>
        <w:pStyle w:val="ListParagraph"/>
        <w:numPr>
          <w:ilvl w:val="0"/>
          <w:numId w:val="2"/>
        </w:numPr>
        <w:spacing w:after="60" w:before="60"/>
      </w:pPr>
      <w:r>
        <w:rPr>
          <w:rFonts w:ascii="Arial" w:cs="Arial" w:eastAsia="Arial" w:hAnsi="Arial"/>
          <w:b/>
          <w:bCs/>
          <w:color w:val="333333"/>
          <w:sz w:val="22"/>
          <w:szCs w:val="22"/>
        </w:rPr>
        <w:t xml:space="preserve">Phase 6 — Precision Routing: </w:t>
      </w:r>
      <w:r>
        <w:rPr>
          <w:rFonts w:ascii="Arial" w:cs="Arial" w:eastAsia="Arial" w:hAnsi="Arial"/>
          <w:color w:val="333333"/>
          <w:sz w:val="22"/>
          <w:szCs w:val="22"/>
        </w:rPr>
        <w:t xml:space="preserve">Maps each student to the specific intervention their failure pattern requires, at the unit level, on the platform most likely to produce recovery.</w:t>
      </w:r>
    </w:p>
    <w:p>
      <w:pPr>
        <w:pStyle w:val="ListParagraph"/>
        <w:numPr>
          <w:ilvl w:val="0"/>
          <w:numId w:val="2"/>
        </w:numPr>
        <w:spacing w:after="60" w:before="60"/>
      </w:pPr>
      <w:r>
        <w:rPr>
          <w:rFonts w:ascii="Arial" w:cs="Arial" w:eastAsia="Arial" w:hAnsi="Arial"/>
          <w:b/>
          <w:bCs/>
          <w:color w:val="333333"/>
          <w:sz w:val="22"/>
          <w:szCs w:val="22"/>
        </w:rPr>
        <w:t xml:space="preserve">Phase 7 — Action Card Generation: </w:t>
      </w:r>
      <w:r>
        <w:rPr>
          <w:rFonts w:ascii="Arial" w:cs="Arial" w:eastAsia="Arial" w:hAnsi="Arial"/>
          <w:color w:val="333333"/>
          <w:sz w:val="22"/>
          <w:szCs w:val="22"/>
        </w:rPr>
        <w:t xml:space="preserve">Produces ready-to-act teacher outputs: tier assignments, intervention recommendations, parent communication notes, and assignment routing — all in plain language.</w:t>
      </w:r>
    </w:p>
    <w:p>
      <w:pPr>
        <w:pStyle w:val="ListParagraph"/>
        <w:numPr>
          <w:ilvl w:val="0"/>
          <w:numId w:val="2"/>
        </w:numPr>
        <w:spacing w:after="60" w:before="60"/>
      </w:pPr>
      <w:r>
        <w:rPr>
          <w:rFonts w:ascii="Arial" w:cs="Arial" w:eastAsia="Arial" w:hAnsi="Arial"/>
          <w:b/>
          <w:bCs/>
          <w:color w:val="333333"/>
          <w:sz w:val="22"/>
          <w:szCs w:val="22"/>
        </w:rPr>
        <w:t xml:space="preserve">Phase 8 — Confidence Scoring: </w:t>
      </w:r>
      <w:r>
        <w:rPr>
          <w:rFonts w:ascii="Arial" w:cs="Arial" w:eastAsia="Arial" w:hAnsi="Arial"/>
          <w:color w:val="333333"/>
          <w:sz w:val="22"/>
          <w:szCs w:val="22"/>
        </w:rPr>
        <w:t xml:space="preserve">Every output includes a plain-language proof of work explaining exactly how the conclusion was reached. No black boxes. Example: “Marcus’s Integer Operations health is 42% because he has not practiced this topic in 28 days. The Ebbinghaus decay model predicts continued decline without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3F8" w:val="clear"/>
            <w:tcMar>
              <w:top w:type="dxa" w:w="140"/>
              <w:left w:type="dxa" w:w="200"/>
              <w:bottom w:type="dxa" w:w="140"/>
              <w:right w:type="dxa" w:w="200"/>
            </w:tcMar>
          </w:tcPr>
          <w:p>
            <w:pPr>
              <w:spacing w:after="80"/>
            </w:pPr>
            <w:r>
              <w:rPr>
                <w:rFonts w:ascii="Arial" w:cs="Arial" w:eastAsia="Arial" w:hAnsi="Arial"/>
                <w:b/>
                <w:bCs/>
                <w:color w:val="1B3A5C"/>
                <w:sz w:val="22"/>
                <w:szCs w:val="22"/>
              </w:rPr>
              <w:t xml:space="preserve">Precision Prevention</w:t>
            </w:r>
          </w:p>
          <w:p>
            <w:r>
              <w:rPr>
                <w:rFonts w:ascii="Arial" w:cs="Arial" w:eastAsia="Arial" w:hAnsi="Arial"/>
                <w:color w:val="333333"/>
                <w:sz w:val="21"/>
                <w:szCs w:val="21"/>
              </w:rPr>
              <w:t xml:space="preserve">LEF identifies exactly when a student’s grasp of a standard is beginning to fade, enabling intervention before a student ever reaches a crisis point. We do not track what a student knows. We model the temporal dynamics of mastery.</w:t>
            </w:r>
          </w:p>
        </w:tc>
      </w:tr>
    </w:tbl>
    <w:p>
      <w:pPr>
        <w:pStyle w:val="Heading1"/>
        <w:pageBreakBefore/>
        <w:spacing w:after="180" w:before="360"/>
      </w:pPr>
      <w:r>
        <w:rPr>
          <w:rFonts w:ascii="Arial" w:cs="Arial" w:eastAsia="Arial" w:hAnsi="Arial"/>
          <w:b/>
          <w:bCs/>
          <w:color w:val="1B3A5C"/>
          <w:sz w:val="36"/>
          <w:szCs w:val="36"/>
        </w:rPr>
        <w:t xml:space="preserve">Chapter 2: The Teacher as Instructional Architect</w:t>
      </w:r>
    </w:p>
    <w:p>
      <w:pPr>
        <w:pStyle w:val="Heading2"/>
        <w:spacing w:after="180" w:before="240"/>
      </w:pPr>
      <w:r>
        <w:rPr>
          <w:rFonts w:ascii="Arial" w:cs="Arial" w:eastAsia="Arial" w:hAnsi="Arial"/>
          <w:b/>
          <w:bCs/>
          <w:color w:val="2E75B6"/>
          <w:sz w:val="30"/>
          <w:szCs w:val="30"/>
        </w:rPr>
        <w:t xml:space="preserve">Cognitive Offloading through Automated Reasoning</w:t>
      </w:r>
    </w:p>
    <w:p>
      <w:pPr>
        <w:spacing w:after="120" w:before="120"/>
        <w:jc w:val="left"/>
      </w:pPr>
      <w:r>
        <w:rPr>
          <w:rFonts w:ascii="Arial" w:cs="Arial" w:eastAsia="Arial" w:hAnsi="Arial"/>
          <w:b w:val="false"/>
          <w:bCs w:val="false"/>
          <w:i w:val="false"/>
          <w:iCs w:val="false"/>
          <w:color w:val="333333"/>
          <w:sz w:val="22"/>
          <w:szCs w:val="22"/>
        </w:rPr>
        <w:t xml:space="preserve">Teachers are the architects of the classroom, but they are currently buried under the administrative burden of manual data interpretation. LEF Ed. is designed to act as an administrative co-pilot: handling the heavy lifting of diagnostic tracing so educators can focus on the human element of instruction. Login, see who needs support and exactly what kind, push an action, and log off. LEF handles the rest.</w:t>
      </w:r>
    </w:p>
    <w:p>
      <w:pPr>
        <w:pStyle w:val="Heading3"/>
        <w:spacing w:after="180" w:before="240"/>
      </w:pPr>
      <w:r>
        <w:rPr>
          <w:rFonts w:ascii="Arial" w:cs="Arial" w:eastAsia="Arial" w:hAnsi="Arial"/>
          <w:b/>
          <w:bCs/>
          <w:color w:val="1B3A5C"/>
          <w:sz w:val="26"/>
          <w:szCs w:val="26"/>
        </w:rPr>
        <w:t xml:space="preserve">Root Cause Analysis: The Prerequisite Dependency Trace</w:t>
      </w:r>
    </w:p>
    <w:p>
      <w:pPr>
        <w:spacing w:after="120" w:before="120"/>
        <w:jc w:val="left"/>
      </w:pPr>
      <w:r>
        <w:rPr>
          <w:rFonts w:ascii="Arial" w:cs="Arial" w:eastAsia="Arial" w:hAnsi="Arial"/>
          <w:b w:val="false"/>
          <w:bCs w:val="false"/>
          <w:i w:val="false"/>
          <w:iCs w:val="false"/>
          <w:color w:val="333333"/>
          <w:sz w:val="22"/>
          <w:szCs w:val="22"/>
        </w:rPr>
        <w:t xml:space="preserve">Traditional tools suggest “more practice” when a student fails a grade-level standard. LEF performs a Prerequisite Dependency Trace — walking backward through the knowledge graph to find where the gap actually started, not just where it is currently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3F8" w:val="clear"/>
            <w:tcMar>
              <w:top w:type="dxa" w:w="140"/>
              <w:left w:type="dxa" w:w="200"/>
              <w:bottom w:type="dxa" w:w="140"/>
              <w:right w:type="dxa" w:w="200"/>
            </w:tcMar>
          </w:tcPr>
          <w:p>
            <w:pPr>
              <w:spacing w:after="0"/>
            </w:pPr>
            <w:r>
              <w:rPr>
                <w:rFonts w:ascii="Arial" w:cs="Arial" w:eastAsia="Arial" w:hAnsi="Arial"/>
                <w:b/>
                <w:bCs/>
                <w:color w:val="1B3A5C"/>
                <w:sz w:val="21"/>
                <w:szCs w:val="21"/>
              </w:rPr>
              <w:t xml:space="preserve">Example: </w:t>
            </w:r>
            <w:r>
              <w:rPr>
                <w:rFonts w:ascii="Arial" w:cs="Arial" w:eastAsia="Arial" w:hAnsi="Arial"/>
                <w:color w:val="333333"/>
                <w:sz w:val="21"/>
                <w:szCs w:val="21"/>
              </w:rPr>
              <w:t xml:space="preserve">A 9th-grade student is struggling with Linear Equations. Rather than assigning more Linear Equations practice, LEF scans the genealogy of that standard and discovers the failure is rooted in a 6th-grade Integer Operations decay — a Rot classification. The system automatically routes the student back to the foundational gap, preventing them from spinning their wheels on content they are not ready for.</w:t>
            </w:r>
          </w:p>
        </w:tc>
      </w:tr>
    </w:tbl>
    <w:p>
      <w:pPr>
        <w:pStyle w:val="Heading3"/>
        <w:spacing w:after="180" w:before="240"/>
      </w:pPr>
      <w:r>
        <w:rPr>
          <w:rFonts w:ascii="Arial" w:cs="Arial" w:eastAsia="Arial" w:hAnsi="Arial"/>
          <w:b/>
          <w:bCs/>
          <w:color w:val="1B3A5C"/>
          <w:sz w:val="26"/>
          <w:szCs w:val="26"/>
        </w:rPr>
        <w:t xml:space="preserve">The Autonomous Intervention Loop</w:t>
      </w:r>
    </w:p>
    <w:p>
      <w:pPr>
        <w:spacing w:after="120" w:before="120"/>
        <w:jc w:val="left"/>
      </w:pPr>
      <w:r>
        <w:rPr>
          <w:rFonts w:ascii="Arial" w:cs="Arial" w:eastAsia="Arial" w:hAnsi="Arial"/>
          <w:b w:val="false"/>
          <w:bCs w:val="false"/>
          <w:i w:val="false"/>
          <w:iCs w:val="false"/>
          <w:color w:val="333333"/>
          <w:sz w:val="22"/>
          <w:szCs w:val="22"/>
        </w:rPr>
        <w:t xml:space="preserve">This is the feature that separates LEF from every MTSS dashboard on the market. Teachers do not manage interventions. LEF manages interventions. The loop operates as a five-stage escalation:</w:t>
      </w:r>
    </w:p>
    <w:p>
      <w:pPr>
        <w:pStyle w:val="ListParagraph"/>
        <w:numPr>
          <w:ilvl w:val="0"/>
          <w:numId w:val="2"/>
        </w:numPr>
        <w:spacing w:after="60" w:before="60"/>
      </w:pPr>
      <w:r>
        <w:rPr>
          <w:rFonts w:ascii="Arial" w:cs="Arial" w:eastAsia="Arial" w:hAnsi="Arial"/>
          <w:b/>
          <w:bCs/>
          <w:color w:val="333333"/>
          <w:sz w:val="22"/>
          <w:szCs w:val="22"/>
        </w:rPr>
        <w:t xml:space="preserve">Stage 1 — Push: </w:t>
      </w:r>
      <w:r>
        <w:rPr>
          <w:rFonts w:ascii="Arial" w:cs="Arial" w:eastAsia="Arial" w:hAnsi="Arial"/>
          <w:color w:val="333333"/>
          <w:sz w:val="22"/>
          <w:szCs w:val="22"/>
        </w:rPr>
        <w:t xml:space="preserve">LEF pushes a targeted intervention to the student — a Khan Academy unit, IXL practice set, or DreamBox activity — mapped to the exact sub-topic causing the failure.</w:t>
      </w:r>
    </w:p>
    <w:p>
      <w:pPr>
        <w:pStyle w:val="ListParagraph"/>
        <w:numPr>
          <w:ilvl w:val="0"/>
          <w:numId w:val="2"/>
        </w:numPr>
        <w:spacing w:after="60" w:before="60"/>
      </w:pPr>
      <w:r>
        <w:rPr>
          <w:rFonts w:ascii="Arial" w:cs="Arial" w:eastAsia="Arial" w:hAnsi="Arial"/>
          <w:b/>
          <w:bCs/>
          <w:color w:val="333333"/>
          <w:sz w:val="22"/>
          <w:szCs w:val="22"/>
        </w:rPr>
        <w:t xml:space="preserve">Stage 2 — Monitor: </w:t>
      </w:r>
      <w:r>
        <w:rPr>
          <w:rFonts w:ascii="Arial" w:cs="Arial" w:eastAsia="Arial" w:hAnsi="Arial"/>
          <w:color w:val="333333"/>
          <w:sz w:val="22"/>
          <w:szCs w:val="22"/>
        </w:rPr>
        <w:t xml:space="preserve">LEF monitors the student’s health percentage on the targeted topic over the following sessions.</w:t>
      </w:r>
    </w:p>
    <w:p>
      <w:pPr>
        <w:pStyle w:val="ListParagraph"/>
        <w:numPr>
          <w:ilvl w:val="0"/>
          <w:numId w:val="2"/>
        </w:numPr>
        <w:spacing w:after="60" w:before="60"/>
      </w:pPr>
      <w:r>
        <w:rPr>
          <w:rFonts w:ascii="Arial" w:cs="Arial" w:eastAsia="Arial" w:hAnsi="Arial"/>
          <w:b/>
          <w:bCs/>
          <w:color w:val="333333"/>
          <w:sz w:val="22"/>
          <w:szCs w:val="22"/>
        </w:rPr>
        <w:t xml:space="preserve">Stage 3 — Auto-Advance: </w:t>
      </w:r>
      <w:r>
        <w:rPr>
          <w:rFonts w:ascii="Arial" w:cs="Arial" w:eastAsia="Arial" w:hAnsi="Arial"/>
          <w:color w:val="333333"/>
          <w:sz w:val="22"/>
          <w:szCs w:val="22"/>
        </w:rPr>
        <w:t xml:space="preserve">If health is improving, LEF automatically queues the next appropriate intervention in the sequence.</w:t>
      </w:r>
    </w:p>
    <w:p>
      <w:pPr>
        <w:pStyle w:val="ListParagraph"/>
        <w:numPr>
          <w:ilvl w:val="0"/>
          <w:numId w:val="2"/>
        </w:numPr>
        <w:spacing w:after="60" w:before="60"/>
      </w:pPr>
      <w:r>
        <w:rPr>
          <w:rFonts w:ascii="Arial" w:cs="Arial" w:eastAsia="Arial" w:hAnsi="Arial"/>
          <w:b/>
          <w:bCs/>
          <w:color w:val="333333"/>
          <w:sz w:val="22"/>
          <w:szCs w:val="22"/>
        </w:rPr>
        <w:t xml:space="preserve">Stage 4 — Platform Switch: </w:t>
      </w:r>
      <w:r>
        <w:rPr>
          <w:rFonts w:ascii="Arial" w:cs="Arial" w:eastAsia="Arial" w:hAnsi="Arial"/>
          <w:color w:val="333333"/>
          <w:sz w:val="22"/>
          <w:szCs w:val="22"/>
        </w:rPr>
        <w:t xml:space="preserve">If health is not improving after a configurable threshold, LEF switches to a different platform (e.g., Khan Academy to IXL) and resumes monitoring.</w:t>
      </w:r>
    </w:p>
    <w:p>
      <w:pPr>
        <w:pStyle w:val="ListParagraph"/>
        <w:numPr>
          <w:ilvl w:val="0"/>
          <w:numId w:val="2"/>
        </w:numPr>
        <w:spacing w:after="60" w:before="60"/>
      </w:pPr>
      <w:r>
        <w:rPr>
          <w:rFonts w:ascii="Arial" w:cs="Arial" w:eastAsia="Arial" w:hAnsi="Arial"/>
          <w:b/>
          <w:bCs/>
          <w:color w:val="333333"/>
          <w:sz w:val="22"/>
          <w:szCs w:val="22"/>
        </w:rPr>
        <w:t xml:space="preserve">Stage 5 — DAG Step-Back: </w:t>
      </w:r>
      <w:r>
        <w:rPr>
          <w:rFonts w:ascii="Arial" w:cs="Arial" w:eastAsia="Arial" w:hAnsi="Arial"/>
          <w:color w:val="333333"/>
          <w:sz w:val="22"/>
          <w:szCs w:val="22"/>
        </w:rPr>
        <w:t xml:space="preserve">If health continues to show no improvement across multiple platforms, LEF steps back up the prerequisite graph to identify the blocking root topic that is preventing all forward progress, and restarts the intervention loop at that foundational level.</w:t>
      </w:r>
    </w:p>
    <w:p>
      <w:pPr>
        <w:spacing w:after="120" w:before="120"/>
        <w:jc w:val="left"/>
      </w:pPr>
      <w:r>
        <w:rPr>
          <w:rFonts w:ascii="Arial" w:cs="Arial" w:eastAsia="Arial" w:hAnsi="Arial"/>
          <w:b w:val="false"/>
          <w:bCs w:val="false"/>
          <w:i w:val="false"/>
          <w:iCs w:val="false"/>
          <w:color w:val="333333"/>
          <w:sz w:val="22"/>
          <w:szCs w:val="22"/>
        </w:rPr>
        <w:t xml:space="preserve">The teacher sees only the output: current intervention, current status, next recommended action. If the loop exhausts its options, LEF flags the teacher with a specific diagnostic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1"/>
              <w:left w:val="single" w:color="E6A817" w:sz="12"/>
              <w:bottom w:val="single" w:color="E6A817" w:sz="1"/>
              <w:right w:val="single" w:color="E6A817" w:sz="1"/>
            </w:tcBorders>
            <w:shd w:fill="FFF8E1" w:val="clear"/>
            <w:tcMar>
              <w:top w:type="dxa" w:w="140"/>
              <w:left w:type="dxa" w:w="200"/>
              <w:bottom w:type="dxa" w:w="140"/>
              <w:right w:type="dxa" w:w="200"/>
            </w:tcMar>
          </w:tcPr>
          <w:p>
            <w:pPr>
              <w:spacing w:after="0"/>
            </w:pPr>
            <w:r>
              <w:rPr>
                <w:rFonts w:ascii="Arial" w:cs="Arial" w:eastAsia="Arial" w:hAnsi="Arial"/>
                <w:i/>
                <w:iCs/>
                <w:color w:val="333333"/>
                <w:sz w:val="21"/>
                <w:szCs w:val="21"/>
              </w:rPr>
              <w:t xml:space="preserve">“Intervention stalled: Possible cognitive threshold reached in Integer Operations (Prerequisite A). Three platforms attempted across 14 sessions with no measurable improvement. Suggesting 1-on-1 scaffolded support with the identified root topic.”</w:t>
            </w:r>
          </w:p>
        </w:tc>
      </w:tr>
    </w:tbl>
    <w:p>
      <w:pPr>
        <w:pStyle w:val="Heading3"/>
        <w:spacing w:after="180" w:before="240"/>
      </w:pPr>
      <w:r>
        <w:rPr>
          <w:rFonts w:ascii="Arial" w:cs="Arial" w:eastAsia="Arial" w:hAnsi="Arial"/>
          <w:b/>
          <w:bCs/>
          <w:color w:val="1B3A5C"/>
          <w:sz w:val="26"/>
          <w:szCs w:val="26"/>
        </w:rPr>
        <w:t xml:space="preserve">Additional Teacher-Level Features</w:t>
      </w:r>
    </w:p>
    <w:p>
      <w:pPr>
        <w:pStyle w:val="ListParagraph"/>
        <w:numPr>
          <w:ilvl w:val="0"/>
          <w:numId w:val="2"/>
        </w:numPr>
        <w:spacing w:after="60" w:before="60"/>
      </w:pPr>
      <w:r>
        <w:rPr>
          <w:rFonts w:ascii="Arial" w:cs="Arial" w:eastAsia="Arial" w:hAnsi="Arial"/>
          <w:b/>
          <w:bCs/>
          <w:color w:val="333333"/>
          <w:sz w:val="22"/>
          <w:szCs w:val="22"/>
        </w:rPr>
        <w:t xml:space="preserve">Tier Dashboard: </w:t>
      </w:r>
      <w:r>
        <w:rPr>
          <w:rFonts w:ascii="Arial" w:cs="Arial" w:eastAsia="Arial" w:hAnsi="Arial"/>
          <w:color w:val="333333"/>
          <w:sz w:val="22"/>
          <w:szCs w:val="22"/>
        </w:rPr>
        <w:t xml:space="preserve">Every student displayed by grade level with MTSS tier as an overlay badge, decay trajectory, health percentage, and pattern label (Normal Progression, Decay, Cognitive Gap, or Failure Spiral).</w:t>
      </w:r>
    </w:p>
    <w:p>
      <w:pPr>
        <w:pStyle w:val="ListParagraph"/>
        <w:numPr>
          <w:ilvl w:val="0"/>
          <w:numId w:val="2"/>
        </w:numPr>
        <w:spacing w:after="60" w:before="60"/>
      </w:pPr>
      <w:r>
        <w:rPr>
          <w:rFonts w:ascii="Arial" w:cs="Arial" w:eastAsia="Arial" w:hAnsi="Arial"/>
          <w:b/>
          <w:bCs/>
          <w:color w:val="333333"/>
          <w:sz w:val="22"/>
          <w:szCs w:val="22"/>
        </w:rPr>
        <w:t xml:space="preserve">Smart Groups: </w:t>
      </w:r>
      <w:r>
        <w:rPr>
          <w:rFonts w:ascii="Arial" w:cs="Arial" w:eastAsia="Arial" w:hAnsi="Arial"/>
          <w:color w:val="333333"/>
          <w:sz w:val="22"/>
          <w:szCs w:val="22"/>
        </w:rPr>
        <w:t xml:space="preserve">Algorithmically generated student cohorts based on shared knowledge gaps and instructional readiness, not static rosters. Groups students who share the same root-cause failure for efficient small-group instruction.</w:t>
      </w:r>
    </w:p>
    <w:p>
      <w:pPr>
        <w:pStyle w:val="ListParagraph"/>
        <w:numPr>
          <w:ilvl w:val="0"/>
          <w:numId w:val="2"/>
        </w:numPr>
        <w:spacing w:after="60" w:before="60"/>
      </w:pPr>
      <w:r>
        <w:rPr>
          <w:rFonts w:ascii="Arial" w:cs="Arial" w:eastAsia="Arial" w:hAnsi="Arial"/>
          <w:b/>
          <w:bCs/>
          <w:color w:val="333333"/>
          <w:sz w:val="22"/>
          <w:szCs w:val="22"/>
        </w:rPr>
        <w:t xml:space="preserve">Push to Parent: </w:t>
      </w:r>
      <w:r>
        <w:rPr>
          <w:rFonts w:ascii="Arial" w:cs="Arial" w:eastAsia="Arial" w:hAnsi="Arial"/>
          <w:color w:val="333333"/>
          <w:sz w:val="22"/>
          <w:szCs w:val="22"/>
        </w:rPr>
        <w:t xml:space="preserve">One-click generation of parent communication notes in plain language. No jargon. No clinical assessment terminology.</w:t>
      </w:r>
    </w:p>
    <w:p>
      <w:pPr>
        <w:pStyle w:val="ListParagraph"/>
        <w:numPr>
          <w:ilvl w:val="0"/>
          <w:numId w:val="2"/>
        </w:numPr>
        <w:spacing w:after="60" w:before="60"/>
      </w:pPr>
      <w:r>
        <w:rPr>
          <w:rFonts w:ascii="Arial" w:cs="Arial" w:eastAsia="Arial" w:hAnsi="Arial"/>
          <w:b/>
          <w:bCs/>
          <w:color w:val="333333"/>
          <w:sz w:val="22"/>
          <w:szCs w:val="22"/>
        </w:rPr>
        <w:t xml:space="preserve">Assignment Routing: </w:t>
      </w:r>
      <w:r>
        <w:rPr>
          <w:rFonts w:ascii="Arial" w:cs="Arial" w:eastAsia="Arial" w:hAnsi="Arial"/>
          <w:color w:val="333333"/>
          <w:sz w:val="22"/>
          <w:szCs w:val="22"/>
        </w:rPr>
        <w:t xml:space="preserve">Direct assignment push to Khan Academy, IXL, or DreamBox at the exact sub-topic level causing the failure.</w:t>
      </w:r>
    </w:p>
    <w:p>
      <w:pPr>
        <w:pStyle w:val="ListParagraph"/>
        <w:numPr>
          <w:ilvl w:val="0"/>
          <w:numId w:val="2"/>
        </w:numPr>
        <w:spacing w:after="60" w:before="60"/>
      </w:pPr>
      <w:r>
        <w:rPr>
          <w:rFonts w:ascii="Arial" w:cs="Arial" w:eastAsia="Arial" w:hAnsi="Arial"/>
          <w:b/>
          <w:bCs/>
          <w:color w:val="333333"/>
          <w:sz w:val="22"/>
          <w:szCs w:val="22"/>
        </w:rPr>
        <w:t xml:space="preserve">Study Packets: </w:t>
      </w:r>
      <w:r>
        <w:rPr>
          <w:rFonts w:ascii="Arial" w:cs="Arial" w:eastAsia="Arial" w:hAnsi="Arial"/>
          <w:color w:val="333333"/>
          <w:sz w:val="22"/>
          <w:szCs w:val="22"/>
        </w:rPr>
        <w:t xml:space="preserve">AI-generated take-home practice packets calibrated to the student’s health level, grade, and identified gap pattern.</w:t>
      </w:r>
    </w:p>
    <w:p>
      <w:pPr>
        <w:pStyle w:val="Heading3"/>
        <w:spacing w:after="180" w:before="240"/>
      </w:pPr>
      <w:r>
        <w:rPr>
          <w:rFonts w:ascii="Arial" w:cs="Arial" w:eastAsia="Arial" w:hAnsi="Arial"/>
          <w:b/>
          <w:bCs/>
          <w:color w:val="1B3A5C"/>
          <w:sz w:val="26"/>
          <w:szCs w:val="26"/>
        </w:rPr>
        <w:t xml:space="preserve">Professional Credibility Layer</w:t>
      </w:r>
    </w:p>
    <w:p>
      <w:pPr>
        <w:spacing w:after="120" w:before="120"/>
        <w:jc w:val="left"/>
      </w:pPr>
      <w:r>
        <w:rPr>
          <w:rFonts w:ascii="Arial" w:cs="Arial" w:eastAsia="Arial" w:hAnsi="Arial"/>
          <w:b w:val="false"/>
          <w:bCs w:val="false"/>
          <w:i w:val="false"/>
          <w:iCs w:val="false"/>
          <w:color w:val="333333"/>
          <w:sz w:val="22"/>
          <w:szCs w:val="22"/>
        </w:rPr>
        <w:t xml:space="preserve">LEF gives educators evidence-backed language. Instead of “I think Marcus is struggling,” a teacher can say: “Marcus has a prerequisite gap in Integer Operations that is cascading into Linear Equations, and here is the decay trajectory showing when it started.” This works in both directions — teacher to administrator for support requests, administrator to teacher for coaching conversations. Both sides want the same thing: something to point to.</w:t>
      </w:r>
    </w:p>
    <w:p>
      <w:pPr>
        <w:pStyle w:val="Heading1"/>
        <w:pageBreakBefore/>
        <w:spacing w:after="180" w:before="360"/>
      </w:pPr>
      <w:r>
        <w:rPr>
          <w:rFonts w:ascii="Arial" w:cs="Arial" w:eastAsia="Arial" w:hAnsi="Arial"/>
          <w:b/>
          <w:bCs/>
          <w:color w:val="1B3A5C"/>
          <w:sz w:val="36"/>
          <w:szCs w:val="36"/>
        </w:rPr>
        <w:t xml:space="preserve">Chapter 3: For Principals &amp; Districts — Systemic Equilibrium</w:t>
      </w:r>
    </w:p>
    <w:p>
      <w:pPr>
        <w:pStyle w:val="Heading2"/>
        <w:spacing w:after="180" w:before="240"/>
      </w:pPr>
      <w:r>
        <w:rPr>
          <w:rFonts w:ascii="Arial" w:cs="Arial" w:eastAsia="Arial" w:hAnsi="Arial"/>
          <w:b/>
          <w:bCs/>
          <w:color w:val="2E75B6"/>
          <w:sz w:val="30"/>
          <w:szCs w:val="30"/>
        </w:rPr>
        <w:t xml:space="preserve">Predictive Stability and Resource Optimization</w:t>
      </w:r>
    </w:p>
    <w:p>
      <w:pPr>
        <w:spacing w:after="120" w:before="120"/>
        <w:jc w:val="left"/>
      </w:pPr>
      <w:r>
        <w:rPr>
          <w:rFonts w:ascii="Arial" w:cs="Arial" w:eastAsia="Arial" w:hAnsi="Arial"/>
          <w:b w:val="false"/>
          <w:bCs w:val="false"/>
          <w:i w:val="false"/>
          <w:iCs w:val="false"/>
          <w:color w:val="333333"/>
          <w:sz w:val="22"/>
          <w:szCs w:val="22"/>
        </w:rPr>
        <w:t xml:space="preserve">For school leadership, LEF Ed. provides a flight controller view of academic health. It moves the conversation from “How did we do last term?” to “What will our scores look like next month?”</w:t>
      </w:r>
    </w:p>
    <w:p>
      <w:pPr>
        <w:pStyle w:val="Heading3"/>
        <w:spacing w:after="180" w:before="240"/>
      </w:pPr>
      <w:r>
        <w:rPr>
          <w:rFonts w:ascii="Arial" w:cs="Arial" w:eastAsia="Arial" w:hAnsi="Arial"/>
          <w:b/>
          <w:bCs/>
          <w:color w:val="1B3A5C"/>
          <w:sz w:val="26"/>
          <w:szCs w:val="26"/>
        </w:rPr>
        <w:t xml:space="preserve">Principal-Level Intelligence</w:t>
      </w:r>
    </w:p>
    <w:p>
      <w:pPr>
        <w:pStyle w:val="ListParagraph"/>
        <w:numPr>
          <w:ilvl w:val="0"/>
          <w:numId w:val="2"/>
        </w:numPr>
        <w:spacing w:after="60" w:before="60"/>
      </w:pPr>
      <w:r>
        <w:rPr>
          <w:rFonts w:ascii="Arial" w:cs="Arial" w:eastAsia="Arial" w:hAnsi="Arial"/>
          <w:b/>
          <w:bCs/>
          <w:color w:val="333333"/>
          <w:sz w:val="22"/>
          <w:szCs w:val="22"/>
        </w:rPr>
        <w:t xml:space="preserve">Classroom Intelligence: </w:t>
      </w:r>
      <w:r>
        <w:rPr>
          <w:rFonts w:ascii="Arial" w:cs="Arial" w:eastAsia="Arial" w:hAnsi="Arial"/>
          <w:color w:val="333333"/>
          <w:sz w:val="22"/>
          <w:szCs w:val="22"/>
        </w:rPr>
        <w:t xml:space="preserve">Aggregated view of tier distribution and decay trajectories across all classrooms. See which rooms are trending toward crisis and which are stabilizing — in real time, not at the end of a grading period.</w:t>
      </w:r>
    </w:p>
    <w:p>
      <w:pPr>
        <w:pStyle w:val="ListParagraph"/>
        <w:numPr>
          <w:ilvl w:val="0"/>
          <w:numId w:val="2"/>
        </w:numPr>
        <w:spacing w:after="60" w:before="60"/>
      </w:pPr>
      <w:r>
        <w:rPr>
          <w:rFonts w:ascii="Arial" w:cs="Arial" w:eastAsia="Arial" w:hAnsi="Arial"/>
          <w:b/>
          <w:bCs/>
          <w:color w:val="333333"/>
          <w:sz w:val="22"/>
          <w:szCs w:val="22"/>
        </w:rPr>
        <w:t xml:space="preserve">Mastery Decay Map: </w:t>
      </w:r>
      <w:r>
        <w:rPr>
          <w:rFonts w:ascii="Arial" w:cs="Arial" w:eastAsia="Arial" w:hAnsi="Arial"/>
          <w:color w:val="333333"/>
          <w:sz w:val="22"/>
          <w:szCs w:val="22"/>
        </w:rPr>
        <w:t xml:space="preserve">Visualize the half-life of learning across your campus. See which standards are showing systemic decay across an entire grade level. This enables proactive Professional Development targeting and resource allocation before end-of-year assessments reveal the damage.</w:t>
      </w:r>
    </w:p>
    <w:p>
      <w:pPr>
        <w:pStyle w:val="ListParagraph"/>
        <w:numPr>
          <w:ilvl w:val="0"/>
          <w:numId w:val="2"/>
        </w:numPr>
        <w:spacing w:after="60" w:before="60"/>
      </w:pPr>
      <w:r>
        <w:rPr>
          <w:rFonts w:ascii="Arial" w:cs="Arial" w:eastAsia="Arial" w:hAnsi="Arial"/>
          <w:b/>
          <w:bCs/>
          <w:color w:val="333333"/>
          <w:sz w:val="22"/>
          <w:szCs w:val="22"/>
        </w:rPr>
        <w:t xml:space="preserve">Teacher Performance Layer: </w:t>
      </w:r>
      <w:r>
        <w:rPr>
          <w:rFonts w:ascii="Arial" w:cs="Arial" w:eastAsia="Arial" w:hAnsi="Arial"/>
          <w:color w:val="333333"/>
          <w:sz w:val="22"/>
          <w:szCs w:val="22"/>
        </w:rPr>
        <w:t xml:space="preserve">Which classrooms are showing the most diagnostic movement? Where is the intervention routing producing recovery? Where is it stalling? Evidence-based coaching, not opinion.</w:t>
      </w:r>
    </w:p>
    <w:p>
      <w:pPr>
        <w:pStyle w:val="ListParagraph"/>
        <w:numPr>
          <w:ilvl w:val="0"/>
          <w:numId w:val="2"/>
        </w:numPr>
        <w:spacing w:after="60" w:before="60"/>
      </w:pPr>
      <w:r>
        <w:rPr>
          <w:rFonts w:ascii="Arial" w:cs="Arial" w:eastAsia="Arial" w:hAnsi="Arial"/>
          <w:b/>
          <w:bCs/>
          <w:color w:val="333333"/>
          <w:sz w:val="22"/>
          <w:szCs w:val="22"/>
        </w:rPr>
        <w:t xml:space="preserve">MTSS Alignment: </w:t>
      </w:r>
      <w:r>
        <w:rPr>
          <w:rFonts w:ascii="Arial" w:cs="Arial" w:eastAsia="Arial" w:hAnsi="Arial"/>
          <w:color w:val="333333"/>
          <w:sz w:val="22"/>
          <w:szCs w:val="22"/>
        </w:rPr>
        <w:t xml:space="preserve">Automatically generated MTSS tier documentation from aggregated student data. No separate reporting required. LEF ensures that Multi-Tiered Support is an active, daily reality rather than a weekly meeting.</w:t>
      </w:r>
    </w:p>
    <w:p>
      <w:pPr>
        <w:pStyle w:val="Heading3"/>
        <w:spacing w:after="180" w:before="240"/>
      </w:pPr>
      <w:r>
        <w:rPr>
          <w:rFonts w:ascii="Arial" w:cs="Arial" w:eastAsia="Arial" w:hAnsi="Arial"/>
          <w:b/>
          <w:bCs/>
          <w:color w:val="1B3A5C"/>
          <w:sz w:val="26"/>
          <w:szCs w:val="26"/>
        </w:rPr>
        <w:t xml:space="preserve">District-Level Analytics</w:t>
      </w:r>
    </w:p>
    <w:p>
      <w:pPr>
        <w:pStyle w:val="ListParagraph"/>
        <w:numPr>
          <w:ilvl w:val="0"/>
          <w:numId w:val="2"/>
        </w:numPr>
        <w:spacing w:after="60" w:before="60"/>
      </w:pPr>
      <w:r>
        <w:rPr>
          <w:rFonts w:ascii="Arial" w:cs="Arial" w:eastAsia="Arial" w:hAnsi="Arial"/>
          <w:b/>
          <w:bCs/>
          <w:color w:val="333333"/>
          <w:sz w:val="22"/>
          <w:szCs w:val="22"/>
        </w:rPr>
        <w:t xml:space="preserve">Cross-School Analytics: </w:t>
      </w:r>
      <w:r>
        <w:rPr>
          <w:rFonts w:ascii="Arial" w:cs="Arial" w:eastAsia="Arial" w:hAnsi="Arial"/>
          <w:color w:val="333333"/>
          <w:sz w:val="22"/>
          <w:szCs w:val="22"/>
        </w:rPr>
        <w:t xml:space="preserve">Structural gap patterns surfaced across every school in the district. Identify whether a struggling standard is a campus-level issue or a district-wide curriculum problem.</w:t>
      </w:r>
    </w:p>
    <w:p>
      <w:pPr>
        <w:pStyle w:val="ListParagraph"/>
        <w:numPr>
          <w:ilvl w:val="0"/>
          <w:numId w:val="2"/>
        </w:numPr>
        <w:spacing w:after="60" w:before="60"/>
      </w:pPr>
      <w:r>
        <w:rPr>
          <w:rFonts w:ascii="Arial" w:cs="Arial" w:eastAsia="Arial" w:hAnsi="Arial"/>
          <w:b/>
          <w:bCs/>
          <w:color w:val="333333"/>
          <w:sz w:val="22"/>
          <w:szCs w:val="22"/>
        </w:rPr>
        <w:t xml:space="preserve">District Rankings: </w:t>
      </w:r>
      <w:r>
        <w:rPr>
          <w:rFonts w:ascii="Arial" w:cs="Arial" w:eastAsia="Arial" w:hAnsi="Arial"/>
          <w:color w:val="333333"/>
          <w:sz w:val="22"/>
          <w:szCs w:val="22"/>
        </w:rPr>
        <w:t xml:space="preserve">School performance benchmarks within district context, curriculum effectiveness signals, and intervention ROI tracking.</w:t>
      </w:r>
    </w:p>
    <w:p>
      <w:pPr>
        <w:pStyle w:val="ListParagraph"/>
        <w:numPr>
          <w:ilvl w:val="0"/>
          <w:numId w:val="2"/>
        </w:numPr>
        <w:spacing w:after="60" w:before="60"/>
      </w:pPr>
      <w:r>
        <w:rPr>
          <w:rFonts w:ascii="Arial" w:cs="Arial" w:eastAsia="Arial" w:hAnsi="Arial"/>
          <w:b/>
          <w:bCs/>
          <w:color w:val="333333"/>
          <w:sz w:val="22"/>
          <w:szCs w:val="22"/>
        </w:rPr>
        <w:t xml:space="preserve">Roster-Powered Intelligence: </w:t>
      </w:r>
      <w:r>
        <w:rPr>
          <w:rFonts w:ascii="Arial" w:cs="Arial" w:eastAsia="Arial" w:hAnsi="Arial"/>
          <w:color w:val="333333"/>
          <w:sz w:val="22"/>
          <w:szCs w:val="22"/>
        </w:rPr>
        <w:t xml:space="preserve">As student roster data flows in through Clever, LEF builds a district-wide diagnostic map without requiring manual data entry.</w:t>
      </w:r>
    </w:p>
    <w:p>
      <w:pPr>
        <w:pStyle w:val="ListParagraph"/>
        <w:numPr>
          <w:ilvl w:val="0"/>
          <w:numId w:val="2"/>
        </w:numPr>
        <w:spacing w:after="60" w:before="60"/>
      </w:pPr>
      <w:r>
        <w:rPr>
          <w:rFonts w:ascii="Arial" w:cs="Arial" w:eastAsia="Arial" w:hAnsi="Arial"/>
          <w:b/>
          <w:bCs/>
          <w:color w:val="333333"/>
          <w:sz w:val="22"/>
          <w:szCs w:val="22"/>
        </w:rPr>
        <w:t xml:space="preserve">SIS Integration: </w:t>
      </w:r>
      <w:r>
        <w:rPr>
          <w:rFonts w:ascii="Arial" w:cs="Arial" w:eastAsia="Arial" w:hAnsi="Arial"/>
          <w:color w:val="333333"/>
          <w:sz w:val="22"/>
          <w:szCs w:val="22"/>
        </w:rPr>
        <w:t xml:space="preserve">Structured output ready for PowerSchool, Infinite Campus, and other Student Information Systems.</w:t>
      </w:r>
    </w:p>
    <w:p>
      <w:pPr>
        <w:pStyle w:val="Heading3"/>
        <w:spacing w:after="180" w:before="240"/>
      </w:pPr>
      <w:r>
        <w:rPr>
          <w:rFonts w:ascii="Arial" w:cs="Arial" w:eastAsia="Arial" w:hAnsi="Arial"/>
          <w:b/>
          <w:bCs/>
          <w:color w:val="1B3A5C"/>
          <w:sz w:val="26"/>
          <w:szCs w:val="26"/>
        </w:rPr>
        <w:t xml:space="preserve">Precision Tiering</w:t>
      </w:r>
    </w:p>
    <w:p>
      <w:pPr>
        <w:spacing w:after="120" w:before="120"/>
        <w:jc w:val="left"/>
      </w:pPr>
      <w:r>
        <w:rPr>
          <w:rFonts w:ascii="Arial" w:cs="Arial" w:eastAsia="Arial" w:hAnsi="Arial"/>
          <w:b w:val="false"/>
          <w:bCs w:val="false"/>
          <w:i w:val="false"/>
          <w:iCs w:val="false"/>
          <w:color w:val="333333"/>
          <w:sz w:val="22"/>
          <w:szCs w:val="22"/>
        </w:rPr>
        <w:t xml:space="preserve">LEF moves beyond broad Low/Medium/High buckets. The engine provides Capability-Based Grouping, automatically clustering students by their actual instructional readiness using three precisely defined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Health Range</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color w:val="333333"/>
                <w:sz w:val="20"/>
                <w:szCs w:val="20"/>
              </w:rPr>
              <w:t xml:space="preserve">Tier 1</w:t>
            </w:r>
          </w:p>
        </w:tc>
        <w:tc>
          <w:tcPr>
            <w:tcW w:type="dxa" w:w="1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≥80%</w:t>
            </w:r>
          </w:p>
        </w:tc>
        <w:tc>
          <w:tcPr>
            <w:tcW w:type="dxa" w:w="5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On track. Mastery stable or improving. Standard monitoring.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Tier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60–79%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At risk. Active decay detected. Targeted intervention required.</w:t>
            </w:r>
          </w:p>
        </w:tc>
      </w:tr>
      <w:tr>
        <w:tc>
          <w:tcPr>
            <w:tcW w:type="dxa" w:w="1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color w:val="333333"/>
                <w:sz w:val="20"/>
                <w:szCs w:val="20"/>
              </w:rPr>
              <w:t xml:space="preserve">Tier 3</w:t>
            </w:r>
          </w:p>
        </w:tc>
        <w:tc>
          <w:tcPr>
            <w:tcW w:type="dxa" w:w="1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&lt;60%</w:t>
            </w:r>
          </w:p>
        </w:tc>
        <w:tc>
          <w:tcPr>
            <w:tcW w:type="dxa" w:w="5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 Foundational gaps identified. Intensive support with prerequisite step-back.</w:t>
            </w:r>
          </w:p>
        </w:tc>
      </w:tr>
    </w:tbl>
    <w:p>
      <w:pPr>
        <w:spacing w:after="60" w:before="60"/>
        <w:jc w:val="left"/>
      </w:pPr>
      <w:r>
        <w:rPr>
          <w:rFonts w:ascii="Arial" w:cs="Arial" w:eastAsia="Arial" w:hAnsi="Arial"/>
          <w:b w:val="false"/>
          <w:bCs w:val="false"/>
          <w:i w:val="false"/>
          <w:iCs w:val="false"/>
          <w:color w:val="1A1A1A"/>
          <w:sz w:val="22"/>
          <w:szCs w:val="22"/>
        </w:rPr>
        <w:t xml:space="preserve"> </w:t>
      </w:r>
    </w:p>
    <w:p>
      <w:pPr>
        <w:pStyle w:val="Heading3"/>
        <w:spacing w:after="180" w:before="240"/>
      </w:pPr>
      <w:r>
        <w:rPr>
          <w:rFonts w:ascii="Arial" w:cs="Arial" w:eastAsia="Arial" w:hAnsi="Arial"/>
          <w:b/>
          <w:bCs/>
          <w:color w:val="1B3A5C"/>
          <w:sz w:val="26"/>
          <w:szCs w:val="26"/>
        </w:rPr>
        <w:t xml:space="preserve">Data Sovereignty &amp; Compliance</w:t>
      </w:r>
    </w:p>
    <w:p>
      <w:pPr>
        <w:spacing w:after="120" w:before="120"/>
        <w:jc w:val="left"/>
      </w:pPr>
      <w:r>
        <w:rPr>
          <w:rFonts w:ascii="Arial" w:cs="Arial" w:eastAsia="Arial" w:hAnsi="Arial"/>
          <w:b w:val="false"/>
          <w:bCs w:val="false"/>
          <w:i w:val="false"/>
          <w:iCs w:val="false"/>
          <w:color w:val="333333"/>
          <w:sz w:val="22"/>
          <w:szCs w:val="22"/>
        </w:rPr>
        <w:t xml:space="preserve">Built on the OneRoster standard and fully compliant with the Nevada Exhibit E (Data Privacy Agreement), LEF ensures that your district’s most valuable asset — student data — remains secure, interoperable, and actionable. Every diagnostic output includes algorithm transparency: a plain-language reasoning proof of work that answers the question, “How did the system decide this?” This positions LEF ahead of emerging EU AI Act requirements and state-level AI-in-education legislation.</w:t>
      </w:r>
    </w:p>
    <w:p>
      <w:pPr>
        <w:pStyle w:val="Heading3"/>
        <w:spacing w:after="180" w:before="240"/>
      </w:pPr>
      <w:r>
        <w:rPr>
          <w:rFonts w:ascii="Arial" w:cs="Arial" w:eastAsia="Arial" w:hAnsi="Arial"/>
          <w:b/>
          <w:bCs/>
          <w:color w:val="1B3A5C"/>
          <w:sz w:val="26"/>
          <w:szCs w:val="26"/>
        </w:rPr>
        <w:t xml:space="preserve">Funding Alignment</w:t>
      </w:r>
    </w:p>
    <w:p>
      <w:pPr>
        <w:spacing w:after="120" w:before="120"/>
        <w:jc w:val="left"/>
      </w:pPr>
      <w:r>
        <w:rPr>
          <w:rFonts w:ascii="Arial" w:cs="Arial" w:eastAsia="Arial" w:hAnsi="Arial"/>
          <w:b w:val="false"/>
          <w:bCs w:val="false"/>
          <w:i w:val="false"/>
          <w:iCs w:val="false"/>
          <w:color w:val="333333"/>
          <w:sz w:val="22"/>
          <w:szCs w:val="22"/>
        </w:rPr>
        <w:t xml:space="preserve">LEF Ed. Logistics is designed for Title I, Title IV-A (Student Support and Academic Enrichment grants), and ESSER fund successor allocations. LEF’s alignment to MTSS Essential Components — Screening, Progress Monitoring, Data-Based Decision Making, and Multi-Level Prevention — positions it as a qualifying expenditure under federal education funding categories.</w:t>
      </w:r>
    </w:p>
    <w:p>
      <w:pPr>
        <w:pStyle w:val="Heading1"/>
        <w:pageBreakBefore/>
        <w:spacing w:after="180" w:before="360"/>
      </w:pPr>
      <w:r>
        <w:rPr>
          <w:rFonts w:ascii="Arial" w:cs="Arial" w:eastAsia="Arial" w:hAnsi="Arial"/>
          <w:b/>
          <w:bCs/>
          <w:color w:val="1B3A5C"/>
          <w:sz w:val="36"/>
          <w:szCs w:val="36"/>
        </w:rPr>
        <w:t xml:space="preserve">Chapter 4: For Parents — Restoring the Educational Triad</w:t>
      </w:r>
    </w:p>
    <w:p>
      <w:pPr>
        <w:pStyle w:val="Heading2"/>
        <w:spacing w:after="180" w:before="240"/>
      </w:pPr>
      <w:r>
        <w:rPr>
          <w:rFonts w:ascii="Arial" w:cs="Arial" w:eastAsia="Arial" w:hAnsi="Arial"/>
          <w:b/>
          <w:bCs/>
          <w:color w:val="2E75B6"/>
          <w:sz w:val="30"/>
          <w:szCs w:val="30"/>
        </w:rPr>
        <w:t xml:space="preserve">Bridging the Gap Between School and Home</w:t>
      </w:r>
    </w:p>
    <w:p>
      <w:pPr>
        <w:spacing w:after="120" w:before="120"/>
        <w:jc w:val="left"/>
      </w:pPr>
      <w:r>
        <w:rPr>
          <w:rFonts w:ascii="Arial" w:cs="Arial" w:eastAsia="Arial" w:hAnsi="Arial"/>
          <w:b w:val="false"/>
          <w:bCs w:val="false"/>
          <w:i w:val="false"/>
          <w:iCs w:val="false"/>
          <w:color w:val="333333"/>
          <w:sz w:val="22"/>
          <w:szCs w:val="22"/>
        </w:rPr>
        <w:t xml:space="preserve">The parent handout is the tangible heartbeat of the LEF ecosystem. It transforms clinical assessment data into a clear, empowering roadmap for the family. Parents should not need to be subject-matter experts to support their child’s growth.</w:t>
      </w:r>
    </w:p>
    <w:p>
      <w:pPr>
        <w:pStyle w:val="Heading3"/>
        <w:spacing w:after="180" w:before="240"/>
      </w:pPr>
      <w:r>
        <w:rPr>
          <w:rFonts w:ascii="Arial" w:cs="Arial" w:eastAsia="Arial" w:hAnsi="Arial"/>
          <w:b/>
          <w:bCs/>
          <w:color w:val="1B3A5C"/>
          <w:sz w:val="26"/>
          <w:szCs w:val="26"/>
        </w:rPr>
        <w:t xml:space="preserve">The Study Packet</w:t>
      </w:r>
    </w:p>
    <w:p>
      <w:pPr>
        <w:pStyle w:val="ListParagraph"/>
        <w:numPr>
          <w:ilvl w:val="0"/>
          <w:numId w:val="2"/>
        </w:numPr>
        <w:spacing w:after="60" w:before="60"/>
      </w:pPr>
      <w:r>
        <w:rPr>
          <w:rFonts w:ascii="Arial" w:cs="Arial" w:eastAsia="Arial" w:hAnsi="Arial"/>
          <w:b/>
          <w:bCs/>
          <w:color w:val="333333"/>
          <w:sz w:val="22"/>
          <w:szCs w:val="22"/>
        </w:rPr>
        <w:t xml:space="preserve">Contextual Relevance — The “Real World Why”: </w:t>
      </w:r>
      <w:r>
        <w:rPr>
          <w:rFonts w:ascii="Arial" w:cs="Arial" w:eastAsia="Arial" w:hAnsi="Arial"/>
          <w:color w:val="333333"/>
          <w:sz w:val="22"/>
          <w:szCs w:val="22"/>
        </w:rPr>
        <w:t xml:space="preserve">Every LEF Study Packet begins with a real-world connection. If a child is working on Ratios &amp; Proportions, the packet explains how this math lives in scaling recipes, adjusting paint colors, or managing a household budget. Relevance drives engagement.</w:t>
      </w:r>
    </w:p>
    <w:p>
      <w:pPr>
        <w:pStyle w:val="ListParagraph"/>
        <w:numPr>
          <w:ilvl w:val="0"/>
          <w:numId w:val="2"/>
        </w:numPr>
        <w:spacing w:after="60" w:before="60"/>
      </w:pPr>
      <w:r>
        <w:rPr>
          <w:rFonts w:ascii="Arial" w:cs="Arial" w:eastAsia="Arial" w:hAnsi="Arial"/>
          <w:b/>
          <w:bCs/>
          <w:color w:val="333333"/>
          <w:sz w:val="22"/>
          <w:szCs w:val="22"/>
        </w:rPr>
        <w:t xml:space="preserve">Hint-Based Scaffolding: </w:t>
      </w:r>
      <w:r>
        <w:rPr>
          <w:rFonts w:ascii="Arial" w:cs="Arial" w:eastAsia="Arial" w:hAnsi="Arial"/>
          <w:color w:val="333333"/>
          <w:sz w:val="22"/>
          <w:szCs w:val="22"/>
        </w:rPr>
        <w:t xml:space="preserve">Packets provide mental hints and concept bridges that mirror the instruction happening in the classroom. Parents can support their child without needing to re-learn the material themselves.</w:t>
      </w:r>
    </w:p>
    <w:p>
      <w:pPr>
        <w:pStyle w:val="ListParagraph"/>
        <w:numPr>
          <w:ilvl w:val="0"/>
          <w:numId w:val="2"/>
        </w:numPr>
        <w:spacing w:after="60" w:before="60"/>
      </w:pPr>
      <w:r>
        <w:rPr>
          <w:rFonts w:ascii="Arial" w:cs="Arial" w:eastAsia="Arial" w:hAnsi="Arial"/>
          <w:b/>
          <w:bCs/>
          <w:color w:val="333333"/>
          <w:sz w:val="22"/>
          <w:szCs w:val="22"/>
        </w:rPr>
        <w:t xml:space="preserve">Calibrated Difficulty: </w:t>
      </w:r>
      <w:r>
        <w:rPr>
          <w:rFonts w:ascii="Arial" w:cs="Arial" w:eastAsia="Arial" w:hAnsi="Arial"/>
          <w:color w:val="333333"/>
          <w:sz w:val="22"/>
          <w:szCs w:val="22"/>
        </w:rPr>
        <w:t xml:space="preserve">Each packet is generated based on the student’s actual health level, grade, and identified gap pattern. A Tier 2 student working on a Rot classification gets different scaffolding than a Tier 3 student working on a Gap classification.</w:t>
      </w:r>
    </w:p>
    <w:p>
      <w:pPr>
        <w:pStyle w:val="Heading3"/>
        <w:spacing w:after="180" w:before="240"/>
      </w:pPr>
      <w:r>
        <w:rPr>
          <w:rFonts w:ascii="Arial" w:cs="Arial" w:eastAsia="Arial" w:hAnsi="Arial"/>
          <w:b/>
          <w:bCs/>
          <w:color w:val="1B3A5C"/>
          <w:sz w:val="26"/>
          <w:szCs w:val="26"/>
        </w:rPr>
        <w:t xml:space="preserve">Living Progress Communication</w:t>
      </w:r>
    </w:p>
    <w:p>
      <w:pPr>
        <w:spacing w:after="120" w:before="120"/>
        <w:jc w:val="left"/>
      </w:pPr>
      <w:r>
        <w:rPr>
          <w:rFonts w:ascii="Arial" w:cs="Arial" w:eastAsia="Arial" w:hAnsi="Arial"/>
          <w:b w:val="false"/>
          <w:bCs w:val="false"/>
          <w:i w:val="false"/>
          <w:iCs w:val="false"/>
          <w:color w:val="333333"/>
          <w:sz w:val="22"/>
          <w:szCs w:val="22"/>
        </w:rPr>
        <w:t xml:space="preserve">Parents no longer have to wait for parent-teacher conferences to know there is a problem. LEF generates plain-language parent communication notes whenever a significant diagnostic event occurs — a new gap detected, a successful recovery, or an intervention stall that requires family awareness. One click from the teacher’s dashboard, and the parent receives a clear, jargon-free update on their child’s academic trajectory.</w:t>
      </w:r>
    </w:p>
    <w:p>
      <w:pPr>
        <w:pStyle w:val="Heading1"/>
        <w:pageBreakBefore/>
        <w:spacing w:after="180" w:before="360"/>
      </w:pPr>
      <w:r>
        <w:rPr>
          <w:rFonts w:ascii="Arial" w:cs="Arial" w:eastAsia="Arial" w:hAnsi="Arial"/>
          <w:b/>
          <w:bCs/>
          <w:color w:val="1B3A5C"/>
          <w:sz w:val="36"/>
          <w:szCs w:val="36"/>
        </w:rPr>
        <w:t xml:space="preserve">Chapter 5: IEP Content Intelligence</w:t>
      </w:r>
    </w:p>
    <w:p>
      <w:pPr>
        <w:pStyle w:val="Heading2"/>
        <w:spacing w:after="180" w:before="240"/>
      </w:pPr>
      <w:r>
        <w:rPr>
          <w:rFonts w:ascii="Arial" w:cs="Arial" w:eastAsia="Arial" w:hAnsi="Arial"/>
          <w:b/>
          <w:bCs/>
          <w:color w:val="2E75B6"/>
          <w:sz w:val="30"/>
          <w:szCs w:val="30"/>
        </w:rPr>
        <w:t xml:space="preserve">Reducing the Paperwork Burden on Special Educators</w:t>
      </w:r>
    </w:p>
    <w:p>
      <w:pPr>
        <w:spacing w:after="120" w:before="120"/>
        <w:jc w:val="left"/>
      </w:pPr>
      <w:r>
        <w:rPr>
          <w:rFonts w:ascii="Arial" w:cs="Arial" w:eastAsia="Arial" w:hAnsi="Arial"/>
          <w:b w:val="false"/>
          <w:bCs w:val="false"/>
          <w:i w:val="false"/>
          <w:iCs w:val="false"/>
          <w:color w:val="333333"/>
          <w:sz w:val="22"/>
          <w:szCs w:val="22"/>
        </w:rPr>
        <w:t xml:space="preserve">Special education teacher attrition is nearly double that of general education, and paperwork is the primary driver. LEF’s diagnostic data is already structured for IEP compliance. Rather than building IEP narratives from scratch, special educators can generate them directly from the reasoning engine’s outputs:</w:t>
      </w:r>
    </w:p>
    <w:p>
      <w:pPr>
        <w:pStyle w:val="ListParagraph"/>
        <w:numPr>
          <w:ilvl w:val="0"/>
          <w:numId w:val="2"/>
        </w:numPr>
        <w:spacing w:after="60" w:before="60"/>
      </w:pPr>
      <w:r>
        <w:rPr>
          <w:rFonts w:ascii="Arial" w:cs="Arial" w:eastAsia="Arial" w:hAnsi="Arial"/>
          <w:b/>
          <w:bCs/>
          <w:color w:val="333333"/>
          <w:sz w:val="22"/>
          <w:szCs w:val="22"/>
        </w:rPr>
        <w:t xml:space="preserve">Present Level of Performance (PLOP) Narratives: </w:t>
      </w:r>
      <w:r>
        <w:rPr>
          <w:rFonts w:ascii="Arial" w:cs="Arial" w:eastAsia="Arial" w:hAnsi="Arial"/>
          <w:color w:val="333333"/>
          <w:sz w:val="22"/>
          <w:szCs w:val="22"/>
        </w:rPr>
        <w:t xml:space="preserve">Generated directly from LEF’s diagnostic data — prerequisite gaps, health percentages, decay trajectories, and pattern classifications.</w:t>
      </w:r>
    </w:p>
    <w:p>
      <w:pPr>
        <w:pStyle w:val="ListParagraph"/>
        <w:numPr>
          <w:ilvl w:val="0"/>
          <w:numId w:val="2"/>
        </w:numPr>
        <w:spacing w:after="60" w:before="60"/>
      </w:pPr>
      <w:r>
        <w:rPr>
          <w:rFonts w:ascii="Arial" w:cs="Arial" w:eastAsia="Arial" w:hAnsi="Arial"/>
          <w:b/>
          <w:bCs/>
          <w:color w:val="333333"/>
          <w:sz w:val="22"/>
          <w:szCs w:val="22"/>
        </w:rPr>
        <w:t xml:space="preserve">SMART Goal Generation: </w:t>
      </w:r>
      <w:r>
        <w:rPr>
          <w:rFonts w:ascii="Arial" w:cs="Arial" w:eastAsia="Arial" w:hAnsi="Arial"/>
          <w:color w:val="333333"/>
          <w:sz w:val="22"/>
          <w:szCs w:val="22"/>
        </w:rPr>
        <w:t xml:space="preserve">Aligned to identified prerequisite gaps, not generic grade-level standards. Goals are specific to what the student actually needs, not what the calendar says they should know.</w:t>
      </w:r>
    </w:p>
    <w:p>
      <w:pPr>
        <w:pStyle w:val="ListParagraph"/>
        <w:numPr>
          <w:ilvl w:val="0"/>
          <w:numId w:val="2"/>
        </w:numPr>
        <w:spacing w:after="60" w:before="60"/>
      </w:pPr>
      <w:r>
        <w:rPr>
          <w:rFonts w:ascii="Arial" w:cs="Arial" w:eastAsia="Arial" w:hAnsi="Arial"/>
          <w:b/>
          <w:bCs/>
          <w:color w:val="333333"/>
          <w:sz w:val="22"/>
          <w:szCs w:val="22"/>
        </w:rPr>
        <w:t xml:space="preserve">Progress Monitoring Data: </w:t>
      </w:r>
      <w:r>
        <w:rPr>
          <w:rFonts w:ascii="Arial" w:cs="Arial" w:eastAsia="Arial" w:hAnsi="Arial"/>
          <w:color w:val="333333"/>
          <w:sz w:val="22"/>
          <w:szCs w:val="22"/>
        </w:rPr>
        <w:t xml:space="preserve">Formatted for IEP compliance, pulled directly from the intervention loop’s tracking data.</w:t>
      </w:r>
    </w:p>
    <w:p>
      <w:pPr>
        <w:pStyle w:val="ListParagraph"/>
        <w:numPr>
          <w:ilvl w:val="0"/>
          <w:numId w:val="2"/>
        </w:numPr>
        <w:spacing w:after="60" w:before="60"/>
      </w:pPr>
      <w:r>
        <w:rPr>
          <w:rFonts w:ascii="Arial" w:cs="Arial" w:eastAsia="Arial" w:hAnsi="Arial"/>
          <w:b/>
          <w:bCs/>
          <w:color w:val="333333"/>
          <w:sz w:val="22"/>
          <w:szCs w:val="22"/>
        </w:rPr>
        <w:t xml:space="preserve">Accommodation Recommendations: </w:t>
      </w:r>
      <w:r>
        <w:rPr>
          <w:rFonts w:ascii="Arial" w:cs="Arial" w:eastAsia="Arial" w:hAnsi="Arial"/>
          <w:color w:val="333333"/>
          <w:sz w:val="22"/>
          <w:szCs w:val="22"/>
        </w:rPr>
        <w:t xml:space="preserve">Tied to identified failure patterns. A student with a Rot classification gets different accommodation suggestions than one with a Gap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3F8" w:val="clear"/>
            <w:tcMar>
              <w:top w:type="dxa" w:w="140"/>
              <w:left w:type="dxa" w:w="200"/>
              <w:bottom w:type="dxa" w:w="140"/>
              <w:right w:type="dxa" w:w="200"/>
            </w:tcMar>
          </w:tcPr>
          <w:p>
            <w:pPr>
              <w:spacing w:after="0"/>
            </w:pPr>
            <w:r>
              <w:rPr>
                <w:rFonts w:ascii="Arial" w:cs="Arial" w:eastAsia="Arial" w:hAnsi="Arial"/>
                <w:b/>
                <w:bCs/>
                <w:color w:val="1B3A5C"/>
                <w:sz w:val="22"/>
                <w:szCs w:val="22"/>
              </w:rPr>
              <w:t xml:space="preserve">Estimated Impact: </w:t>
            </w:r>
            <w:r>
              <w:rPr>
                <w:rFonts w:ascii="Arial" w:cs="Arial" w:eastAsia="Arial" w:hAnsi="Arial"/>
                <w:color w:val="333333"/>
                <w:sz w:val="22"/>
                <w:szCs w:val="22"/>
              </w:rPr>
              <w:t xml:space="preserve">5 to 10 hours saved per student per IEP cycle.</w:t>
            </w:r>
          </w:p>
        </w:tc>
      </w:tr>
    </w:tbl>
    <w:p>
      <w:pPr>
        <w:pStyle w:val="Heading1"/>
        <w:pageBreakBefore/>
        <w:spacing w:after="180" w:before="360"/>
      </w:pPr>
      <w:r>
        <w:rPr>
          <w:rFonts w:ascii="Arial" w:cs="Arial" w:eastAsia="Arial" w:hAnsi="Arial"/>
          <w:b/>
          <w:bCs/>
          <w:color w:val="1B3A5C"/>
          <w:sz w:val="36"/>
          <w:szCs w:val="36"/>
        </w:rPr>
        <w:t xml:space="preserve">Chapter 6: The Pilot Framework — Tactical Execution</w:t>
      </w:r>
    </w:p>
    <w:p>
      <w:pPr>
        <w:pStyle w:val="Heading2"/>
        <w:spacing w:after="180" w:before="240"/>
      </w:pPr>
      <w:r>
        <w:rPr>
          <w:rFonts w:ascii="Arial" w:cs="Arial" w:eastAsia="Arial" w:hAnsi="Arial"/>
          <w:b/>
          <w:bCs/>
          <w:color w:val="2E75B6"/>
          <w:sz w:val="30"/>
          <w:szCs w:val="30"/>
        </w:rPr>
        <w:t xml:space="preserve">Low Friction. High Validation.</w:t>
      </w:r>
    </w:p>
    <w:p>
      <w:pPr>
        <w:spacing w:after="120" w:before="120"/>
        <w:jc w:val="left"/>
      </w:pPr>
      <w:r>
        <w:rPr>
          <w:rFonts w:ascii="Arial" w:cs="Arial" w:eastAsia="Arial" w:hAnsi="Arial"/>
          <w:b w:val="false"/>
          <w:bCs w:val="false"/>
          <w:i w:val="false"/>
          <w:iCs w:val="false"/>
          <w:color w:val="333333"/>
          <w:sz w:val="22"/>
          <w:szCs w:val="22"/>
        </w:rPr>
        <w:t xml:space="preserve">We are seeking 10–14 day Micro-Validation partnerships to demonstrate the directional accuracy of the LEF engine. Preliminary testing shows 93.8% directional accuracy. This pilot is proof of work. The school risks nothing.</w:t>
      </w:r>
    </w:p>
    <w:p>
      <w:pPr>
        <w:pStyle w:val="Heading3"/>
        <w:spacing w:after="180" w:before="240"/>
      </w:pPr>
      <w:r>
        <w:rPr>
          <w:rFonts w:ascii="Arial" w:cs="Arial" w:eastAsia="Arial" w:hAnsi="Arial"/>
          <w:b/>
          <w:bCs/>
          <w:color w:val="1B3A5C"/>
          <w:sz w:val="26"/>
          <w:szCs w:val="26"/>
        </w:rPr>
        <w:t xml:space="preserve">Who This Is For</w:t>
      </w:r>
    </w:p>
    <w:p>
      <w:pPr>
        <w:spacing w:after="120" w:before="120"/>
        <w:jc w:val="left"/>
      </w:pPr>
      <w:r>
        <w:rPr>
          <w:rFonts w:ascii="Arial" w:cs="Arial" w:eastAsia="Arial" w:hAnsi="Arial"/>
          <w:b w:val="false"/>
          <w:bCs w:val="false"/>
          <w:i w:val="false"/>
          <w:iCs w:val="false"/>
          <w:color w:val="333333"/>
          <w:sz w:val="22"/>
          <w:szCs w:val="22"/>
        </w:rPr>
        <w:t xml:space="preserve">Charter schools, private schools, progressive public school administrators, and tutoring centers — organizations that move faster than large public districts and are willing to test a new approach to diagnostic intelligence with real students. If your school already collects assessment data through NWEA MAP Growth, Renaissance STAR, Fastbridge, iReady, or teacher-tagged assessments, you have everything needed.</w:t>
      </w:r>
    </w:p>
    <w:p>
      <w:pPr>
        <w:pStyle w:val="Heading3"/>
        <w:spacing w:after="180" w:before="240"/>
      </w:pPr>
      <w:r>
        <w:rPr>
          <w:rFonts w:ascii="Arial" w:cs="Arial" w:eastAsia="Arial" w:hAnsi="Arial"/>
          <w:b/>
          <w:bCs/>
          <w:color w:val="1B3A5C"/>
          <w:sz w:val="26"/>
          <w:szCs w:val="26"/>
        </w:rPr>
        <w:t xml:space="preserve">Pilot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color w:val="1B3A5C"/>
                <w:sz w:val="20"/>
                <w:szCs w:val="20"/>
              </w:rPr>
              <w:t xml:space="preserve">Cohort Size</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33333"/>
                <w:sz w:val="20"/>
                <w:szCs w:val="20"/>
              </w:rPr>
              <w:t xml:space="preserve">20 to 120 students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Duration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10–14 day active diagnostic period</w:t>
            </w:r>
          </w:p>
        </w:tc>
      </w:tr>
      <w:tr>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color w:val="1B3A5C"/>
                <w:sz w:val="20"/>
                <w:szCs w:val="20"/>
              </w:rPr>
              <w:t xml:space="preserve">Data Required</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33333"/>
                <w:sz w:val="20"/>
                <w:szCs w:val="20"/>
              </w:rPr>
              <w:t xml:space="preserve">Topic-level assessment export or teacher-tagged results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Teacher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Approximately 10 minutes to review outputs per week</w:t>
            </w:r>
          </w:p>
        </w:tc>
      </w:tr>
      <w:tr>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b/>
                <w:bCs/>
                <w:color w:val="1B3A5C"/>
                <w:sz w:val="20"/>
                <w:szCs w:val="20"/>
              </w:rPr>
              <w:t xml:space="preserve">Setup Time</w:t>
            </w:r>
          </w:p>
        </w:tc>
        <w:tc>
          <w:tcPr>
            <w:tcW w:type="dxa" w:w="6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33333"/>
                <w:sz w:val="20"/>
                <w:szCs w:val="20"/>
              </w:rPr>
              <w:t xml:space="preserve">15-minute ingestion via Clever or NWEA API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Deliverables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Individual student diagnostic reports, classroom-level summary, tier assignments, intervention routing map, parent communication templates</w:t>
            </w:r>
          </w:p>
        </w:tc>
      </w:tr>
    </w:tbl>
    <w:p>
      <w:pPr>
        <w:spacing w:after="60" w:before="60"/>
        <w:jc w:val="left"/>
      </w:pPr>
      <w:r>
        <w:rPr>
          <w:rFonts w:ascii="Arial" w:cs="Arial" w:eastAsia="Arial" w:hAnsi="Arial"/>
          <w:b w:val="false"/>
          <w:bCs w:val="false"/>
          <w:i w:val="false"/>
          <w:iCs w:val="false"/>
          <w:color w:val="1A1A1A"/>
          <w:sz w:val="22"/>
          <w:szCs w:val="22"/>
        </w:rPr>
        <w:t xml:space="preserve"> </w:t>
      </w:r>
    </w:p>
    <w:p>
      <w:pPr>
        <w:pStyle w:val="Heading3"/>
        <w:spacing w:after="180" w:before="240"/>
      </w:pPr>
      <w:r>
        <w:rPr>
          <w:rFonts w:ascii="Arial" w:cs="Arial" w:eastAsia="Arial" w:hAnsi="Arial"/>
          <w:b/>
          <w:bCs/>
          <w:color w:val="1B3A5C"/>
          <w:sz w:val="26"/>
          <w:szCs w:val="26"/>
        </w:rPr>
        <w:t xml:space="preserve">Pilot Phases</w:t>
      </w:r>
    </w:p>
    <w:p>
      <w:pPr>
        <w:pStyle w:val="ListParagraph"/>
        <w:numPr>
          <w:ilvl w:val="0"/>
          <w:numId w:val="3"/>
        </w:numPr>
        <w:spacing w:after="60" w:before="60"/>
      </w:pPr>
      <w:r>
        <w:rPr>
          <w:rFonts w:ascii="Arial" w:cs="Arial" w:eastAsia="Arial" w:hAnsi="Arial"/>
          <w:b/>
          <w:bCs/>
          <w:color w:val="333333"/>
          <w:sz w:val="22"/>
          <w:szCs w:val="22"/>
        </w:rPr>
        <w:t xml:space="preserve">Phase 1 — Secure Ingestion (Day 1): </w:t>
      </w:r>
      <w:r>
        <w:rPr>
          <w:rFonts w:ascii="Arial" w:cs="Arial" w:eastAsia="Arial" w:hAnsi="Arial"/>
          <w:color w:val="333333"/>
          <w:sz w:val="22"/>
          <w:szCs w:val="22"/>
        </w:rPr>
        <w:t xml:space="preserve">15-minute setup via Clever or NWEA API. LEF ingests rostered assessment data and begins building the prerequisite dependency graph for the participating cohort.</w:t>
      </w:r>
    </w:p>
    <w:p>
      <w:pPr>
        <w:pStyle w:val="ListParagraph"/>
        <w:numPr>
          <w:ilvl w:val="0"/>
          <w:numId w:val="3"/>
        </w:numPr>
        <w:spacing w:after="60" w:before="60"/>
      </w:pPr>
      <w:r>
        <w:rPr>
          <w:rFonts w:ascii="Arial" w:cs="Arial" w:eastAsia="Arial" w:hAnsi="Arial"/>
          <w:b/>
          <w:bCs/>
          <w:color w:val="333333"/>
          <w:sz w:val="22"/>
          <w:szCs w:val="22"/>
        </w:rPr>
        <w:t xml:space="preserve">Phase 2 — Baseline Mapping (Days 2–3): </w:t>
      </w:r>
      <w:r>
        <w:rPr>
          <w:rFonts w:ascii="Arial" w:cs="Arial" w:eastAsia="Arial" w:hAnsi="Arial"/>
          <w:color w:val="333333"/>
          <w:sz w:val="22"/>
          <w:szCs w:val="22"/>
        </w:rPr>
        <w:t xml:space="preserve">LEF generates the initial Mastery Decay Map, applies Slip/Gap/Rot classification to every identified failure, and produces the first round of tier assignments and predictive trajectories.</w:t>
      </w:r>
    </w:p>
    <w:p>
      <w:pPr>
        <w:pStyle w:val="ListParagraph"/>
        <w:numPr>
          <w:ilvl w:val="0"/>
          <w:numId w:val="3"/>
        </w:numPr>
        <w:spacing w:after="60" w:before="60"/>
      </w:pPr>
      <w:r>
        <w:rPr>
          <w:rFonts w:ascii="Arial" w:cs="Arial" w:eastAsia="Arial" w:hAnsi="Arial"/>
          <w:b/>
          <w:bCs/>
          <w:color w:val="333333"/>
          <w:sz w:val="22"/>
          <w:szCs w:val="22"/>
        </w:rPr>
        <w:t xml:space="preserve">Phase 3 — Routing &amp; Study Packets (Days 4–10): </w:t>
      </w:r>
      <w:r>
        <w:rPr>
          <w:rFonts w:ascii="Arial" w:cs="Arial" w:eastAsia="Arial" w:hAnsi="Arial"/>
          <w:color w:val="333333"/>
          <w:sz w:val="22"/>
          <w:szCs w:val="22"/>
        </w:rPr>
        <w:t xml:space="preserve">Students engage with LEF-routed interventions. The autonomous loop begins monitoring and adjusting. Teachers utilize one-click Study Packets for home support. Parent communication notes are generated.</w:t>
      </w:r>
    </w:p>
    <w:p>
      <w:pPr>
        <w:pStyle w:val="ListParagraph"/>
        <w:numPr>
          <w:ilvl w:val="0"/>
          <w:numId w:val="3"/>
        </w:numPr>
        <w:spacing w:after="60" w:before="60"/>
      </w:pPr>
      <w:r>
        <w:rPr>
          <w:rFonts w:ascii="Arial" w:cs="Arial" w:eastAsia="Arial" w:hAnsi="Arial"/>
          <w:b/>
          <w:bCs/>
          <w:color w:val="333333"/>
          <w:sz w:val="22"/>
          <w:szCs w:val="22"/>
        </w:rPr>
        <w:t xml:space="preserve">Phase 4 — Impact Analysis (Day 14): </w:t>
      </w:r>
      <w:r>
        <w:rPr>
          <w:rFonts w:ascii="Arial" w:cs="Arial" w:eastAsia="Arial" w:hAnsi="Arial"/>
          <w:color w:val="333333"/>
          <w:sz w:val="22"/>
          <w:szCs w:val="22"/>
        </w:rPr>
        <w:t xml:space="preserve">A Precision Capability Report is delivered documenting: growth trajectories vs. baseline predictions, intervention effectiveness by platform, remaining Ghost Standards (topics with no observable assessment signal), and forward-looking risk projections.</w:t>
      </w:r>
    </w:p>
    <w:p>
      <w:pPr>
        <w:pStyle w:val="Heading3"/>
        <w:spacing w:after="180" w:before="240"/>
      </w:pPr>
      <w:r>
        <w:rPr>
          <w:rFonts w:ascii="Arial" w:cs="Arial" w:eastAsia="Arial" w:hAnsi="Arial"/>
          <w:b/>
          <w:bCs/>
          <w:color w:val="1B3A5C"/>
          <w:sz w:val="26"/>
          <w:szCs w:val="26"/>
        </w:rPr>
        <w:t xml:space="preserve">What Your School Gets</w:t>
      </w:r>
    </w:p>
    <w:p>
      <w:pPr>
        <w:spacing w:after="120" w:before="120"/>
        <w:jc w:val="left"/>
      </w:pPr>
      <w:r>
        <w:rPr>
          <w:rFonts w:ascii="Arial" w:cs="Arial" w:eastAsia="Arial" w:hAnsi="Arial"/>
          <w:b w:val="false"/>
          <w:bCs w:val="false"/>
          <w:i w:val="false"/>
          <w:iCs w:val="false"/>
          <w:color w:val="333333"/>
          <w:sz w:val="22"/>
          <w:szCs w:val="22"/>
        </w:rPr>
        <w:t xml:space="preserve">A complete diagnostic picture of every student in the cohort — where they are, where their gaps started, where they are headed, and exactly which third-party resource addresses each specific gap. This is intelligence no current system provides, and your school receives it at no cost as part of the validation partnership.</w:t>
      </w:r>
    </w:p>
    <w:p>
      <w:pPr>
        <w:spacing w:after="120" w:before="120"/>
        <w:jc w:val="left"/>
      </w:pPr>
      <w:r>
        <w:rPr>
          <w:rFonts w:ascii="Arial" w:cs="Arial" w:eastAsia="Arial" w:hAnsi="Arial"/>
          <w:b w:val="false"/>
          <w:bCs w:val="false"/>
          <w:i w:val="false"/>
          <w:iCs w:val="false"/>
          <w:color w:val="333333"/>
          <w:sz w:val="22"/>
          <w:szCs w:val="22"/>
        </w:rPr>
        <w:t xml:space="preserve">Teachers get a dashboard they can open between classes, see who needs what, push an action, and close. No case files. No survey forms. No new workflows.</w:t>
      </w:r>
    </w:p>
    <w:p>
      <w:pPr>
        <w:pStyle w:val="Heading3"/>
        <w:spacing w:after="180" w:before="240"/>
      </w:pPr>
      <w:r>
        <w:rPr>
          <w:rFonts w:ascii="Arial" w:cs="Arial" w:eastAsia="Arial" w:hAnsi="Arial"/>
          <w:b/>
          <w:bCs/>
          <w:color w:val="1B3A5C"/>
          <w:sz w:val="26"/>
          <w:szCs w:val="26"/>
        </w:rPr>
        <w:t xml:space="preserve">What LEF Gets</w:t>
      </w:r>
    </w:p>
    <w:p>
      <w:pPr>
        <w:spacing w:after="120" w:before="120"/>
        <w:jc w:val="left"/>
      </w:pPr>
      <w:r>
        <w:rPr>
          <w:rFonts w:ascii="Arial" w:cs="Arial" w:eastAsia="Arial" w:hAnsi="Arial"/>
          <w:b w:val="false"/>
          <w:bCs w:val="false"/>
          <w:i w:val="false"/>
          <w:iCs w:val="false"/>
          <w:color w:val="333333"/>
          <w:sz w:val="22"/>
          <w:szCs w:val="22"/>
        </w:rPr>
        <w:t xml:space="preserve">Proof of work. Real data demonstrating that LEF’s reasoning engine correctly identifies knowledge gaps, predicts decay trajectories, and routes interventions with precision. Schools that see results become reference partners and help LEF build the evidence base needed for district-level adoption and federal grant applications. Pilot schools receive priority access to new features as LEF continues development.</w:t>
      </w:r>
    </w:p>
    <w:p>
      <w:pPr>
        <w:pStyle w:val="Heading3"/>
        <w:spacing w:after="180" w:before="240"/>
      </w:pPr>
      <w:r>
        <w:rPr>
          <w:rFonts w:ascii="Arial" w:cs="Arial" w:eastAsia="Arial" w:hAnsi="Arial"/>
          <w:b/>
          <w:bCs/>
          <w:color w:val="1B3A5C"/>
          <w:sz w:val="26"/>
          <w:szCs w:val="26"/>
        </w:rPr>
        <w:t xml:space="preserve">The Path Forward</w:t>
      </w:r>
    </w:p>
    <w:p>
      <w:pPr>
        <w:pStyle w:val="ListParagraph"/>
        <w:numPr>
          <w:ilvl w:val="0"/>
          <w:numId w:val="2"/>
        </w:numPr>
        <w:spacing w:after="60" w:before="60"/>
      </w:pPr>
      <w:r>
        <w:rPr>
          <w:rFonts w:ascii="Arial" w:cs="Arial" w:eastAsia="Arial" w:hAnsi="Arial"/>
          <w:color w:val="333333"/>
          <w:sz w:val="22"/>
          <w:szCs w:val="22"/>
        </w:rPr>
        <w:t xml:space="preserve">Pilots that produce strong results become reference cases for district conversations.</w:t>
      </w:r>
    </w:p>
    <w:p>
      <w:pPr>
        <w:pStyle w:val="ListParagraph"/>
        <w:numPr>
          <w:ilvl w:val="0"/>
          <w:numId w:val="2"/>
        </w:numPr>
        <w:spacing w:after="60" w:before="60"/>
      </w:pPr>
      <w:r>
        <w:rPr>
          <w:rFonts w:ascii="Arial" w:cs="Arial" w:eastAsia="Arial" w:hAnsi="Arial"/>
          <w:color w:val="333333"/>
          <w:sz w:val="22"/>
          <w:szCs w:val="22"/>
        </w:rPr>
        <w:t xml:space="preserve">Reference schools receive continued access to LEF Ed. at no cost through the validation period.</w:t>
      </w:r>
    </w:p>
    <w:p>
      <w:pPr>
        <w:pStyle w:val="ListParagraph"/>
        <w:numPr>
          <w:ilvl w:val="0"/>
          <w:numId w:val="2"/>
        </w:numPr>
        <w:spacing w:after="60" w:before="60"/>
      </w:pPr>
      <w:r>
        <w:rPr>
          <w:rFonts w:ascii="Arial" w:cs="Arial" w:eastAsia="Arial" w:hAnsi="Arial"/>
          <w:color w:val="333333"/>
          <w:sz w:val="22"/>
          <w:szCs w:val="22"/>
        </w:rPr>
        <w:t xml:space="preserve">District adoption pathway: pilot school data supports a district-level proposal backed by real outcome evidence from schools in the district.</w:t>
      </w:r>
    </w:p>
    <w:p>
      <w:pPr>
        <w:pStyle w:val="ListParagraph"/>
        <w:numPr>
          <w:ilvl w:val="0"/>
          <w:numId w:val="2"/>
        </w:numPr>
        <w:spacing w:after="60" w:before="60"/>
      </w:pPr>
      <w:r>
        <w:rPr>
          <w:rFonts w:ascii="Arial" w:cs="Arial" w:eastAsia="Arial" w:hAnsi="Arial"/>
          <w:color w:val="333333"/>
          <w:sz w:val="22"/>
          <w:szCs w:val="22"/>
        </w:rPr>
        <w:t xml:space="preserve">LEF’s goal is to become the diagnostic reasoning vendor that district teachers open every day — not another platform sitting unused on a procurement list.</w:t>
      </w:r>
    </w:p>
    <w:p>
      <w:r>
        <w:br w:type="page"/>
      </w:r>
    </w:p>
    <w:p>
      <w:pPr>
        <w:pStyle w:val="Heading1"/>
        <w:spacing w:after="180" w:before="360"/>
      </w:pPr>
      <w:r>
        <w:rPr>
          <w:rFonts w:ascii="Arial" w:cs="Arial" w:eastAsia="Arial" w:hAnsi="Arial"/>
          <w:b/>
          <w:bCs/>
          <w:color w:val="1B3A5C"/>
          <w:sz w:val="36"/>
          <w:szCs w:val="36"/>
        </w:rPr>
        <w:t xml:space="preserve">About Living Eden Frameworks LLC</w:t>
      </w:r>
    </w:p>
    <w:p>
      <w:pPr>
        <w:spacing w:after="120" w:before="120"/>
        <w:jc w:val="left"/>
      </w:pPr>
      <w:r>
        <w:rPr>
          <w:rFonts w:ascii="Arial" w:cs="Arial" w:eastAsia="Arial" w:hAnsi="Arial"/>
          <w:b w:val="false"/>
          <w:bCs w:val="false"/>
          <w:i w:val="false"/>
          <w:iCs w:val="false"/>
          <w:color w:val="333333"/>
          <w:sz w:val="22"/>
          <w:szCs w:val="22"/>
        </w:rPr>
        <w:t xml:space="preserve">Living Eden Frameworks LLC (DBA: Co Creators) builds living frameworks — architectural seeds that identify structural gaps between existing systems and create reasoning layers to bridge them.</w:t>
      </w:r>
    </w:p>
    <w:p>
      <w:pPr>
        <w:spacing w:after="120" w:before="120"/>
        <w:jc w:val="left"/>
      </w:pPr>
      <w:r>
        <w:rPr>
          <w:rFonts w:ascii="Arial" w:cs="Arial" w:eastAsia="Arial" w:hAnsi="Arial"/>
          <w:b w:val="false"/>
          <w:bCs w:val="false"/>
          <w:i w:val="false"/>
          <w:iCs w:val="false"/>
          <w:color w:val="333333"/>
          <w:sz w:val="22"/>
          <w:szCs w:val="22"/>
        </w:rPr>
        <w:t xml:space="preserve">LEF Ed. Logistics is built on research-backed models — Ebbinghaus memory decay, Bloom’s mastery taxonomy, Vygotsky’s Zone of Proximal Development, Webb’s Depth of Knowledge — and original diagnostic frameworks: Slip/Gap/Rot error classification, prerequisite DAG traversal, and tier-based cohort grouping.</w:t>
      </w:r>
    </w:p>
    <w:p>
      <w:pPr>
        <w:spacing w:after="120" w:before="120"/>
        <w:jc w:val="left"/>
      </w:pPr>
      <w:r>
        <w:rPr>
          <w:rFonts w:ascii="Arial" w:cs="Arial" w:eastAsia="Arial" w:hAnsi="Arial"/>
          <w:b/>
          <w:bCs/>
          <w:i w:val="false"/>
          <w:iCs w:val="false"/>
          <w:color w:val="333333"/>
          <w:sz w:val="22"/>
          <w:szCs w:val="22"/>
        </w:rPr>
        <w:t xml:space="preserve">Our design philosophy is simple: the most powerful tool is the one teachers actually use.</w:t>
      </w:r>
    </w:p>
    <w:p>
      <w:pPr>
        <w:spacing w:after="120" w:before="200"/>
        <w:jc w:val="left"/>
      </w:pPr>
      <w:r>
        <w:rPr>
          <w:rFonts w:ascii="Arial" w:cs="Arial" w:eastAsia="Arial" w:hAnsi="Arial"/>
          <w:b w:val="false"/>
          <w:bCs w:val="false"/>
          <w:i w:val="false"/>
          <w:iCs w:val="false"/>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2"/>
              <w:bottom w:val="single" w:color="1B3A5C" w:sz="1"/>
              <w:right w:val="single" w:color="1B3A5C" w:sz="1"/>
            </w:tcBorders>
            <w:shd w:fill="EDF3F8" w:val="clear"/>
            <w:tcMar>
              <w:top w:type="dxa" w:w="140"/>
              <w:left w:type="dxa" w:w="200"/>
              <w:bottom w:type="dxa" w:w="140"/>
              <w:right w:type="dxa" w:w="200"/>
            </w:tcMar>
          </w:tcPr>
          <w:p>
            <w:pPr>
              <w:spacing w:after="60"/>
              <w:jc w:val="center"/>
            </w:pPr>
            <w:r>
              <w:rPr>
                <w:rFonts w:ascii="Arial" w:cs="Arial" w:eastAsia="Arial" w:hAnsi="Arial"/>
                <w:i/>
                <w:iCs/>
                <w:color w:val="1B3A5C"/>
                <w:sz w:val="24"/>
                <w:szCs w:val="24"/>
              </w:rPr>
              <w:t xml:space="preserve">“Planting seeds for humanity’s growth”</w:t>
            </w:r>
          </w:p>
          <w:p>
            <w:pPr>
              <w:spacing w:after="40"/>
              <w:jc w:val="center"/>
            </w:pPr>
            <w:r>
              <w:rPr>
                <w:rFonts w:ascii="Arial" w:cs="Arial" w:eastAsia="Arial" w:hAnsi="Arial"/>
                <w:color w:val="333333"/>
                <w:sz w:val="20"/>
                <w:szCs w:val="20"/>
              </w:rPr>
              <w:t xml:space="preserve">Living Eden Frameworks LLC | DBA: Co Creators</w:t>
            </w:r>
          </w:p>
          <w:p>
            <w:pPr>
              <w:spacing w:after="40"/>
              <w:jc w:val="center"/>
            </w:pPr>
            <w:r>
              <w:rPr>
                <w:rFonts w:ascii="Arial" w:cs="Arial" w:eastAsia="Arial" w:hAnsi="Arial"/>
                <w:color w:val="555555"/>
                <w:sz w:val="18"/>
                <w:szCs w:val="18"/>
              </w:rPr>
              <w:t xml:space="preserve">NV20263528439 | EIN: 41-4285004</w:t>
            </w:r>
          </w:p>
          <w:p>
            <w:pPr>
              <w:spacing w:after="40"/>
              <w:jc w:val="center"/>
            </w:pPr>
            <w:r>
              <w:rPr>
                <w:rFonts w:ascii="Arial" w:cs="Arial" w:eastAsia="Arial" w:hAnsi="Arial"/>
                <w:color w:val="555555"/>
                <w:sz w:val="18"/>
                <w:szCs w:val="18"/>
              </w:rPr>
              <w:t xml:space="preserve">Patent Pending — U.S. Provisional Application Nos. 63/993,278 &amp; 63/993,317</w:t>
            </w:r>
          </w:p>
          <w:p>
            <w:pPr>
              <w:spacing w:after="0"/>
              <w:jc w:val="center"/>
            </w:pPr>
            <w:hyperlink w:history="1" r:id="rIdevjlowwitug0fyttqvjpm">
              <w:r>
                <w:rPr>
                  <w:rStyle w:val="Hyperlink"/>
                  <w:rFonts w:ascii="Arial" w:cs="Arial" w:eastAsia="Arial" w:hAnsi="Arial"/>
                  <w:color w:val="2E75B6"/>
                  <w:sz w:val="18"/>
                  <w:szCs w:val="18"/>
                </w:rPr>
                <w:t xml:space="preserve">https://lef-ai-af3c2.web.app/</w:t>
              </w:r>
            </w:hyperlink>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55555"/>
        <w:sz w:val="16"/>
        <w:szCs w:val="16"/>
      </w:rPr>
      <w:t xml:space="preserve">Living Eden Frameworks LLC | Patent Pending</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555555"/>
        <w:sz w:val="16"/>
        <w:szCs w:val="16"/>
      </w:rPr>
      <w:t xml:space="preserve">LEF Ed. Logistics — The Precision Pilot</w:t>
    </w:r>
    <w:r>
      <w:rPr>
        <w:rFonts w:ascii="Arial" w:cs="Arial" w:eastAsia="Arial" w:hAnsi="Arial"/>
        <w:color w:val="555555"/>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vjlowwitug0fyttqvjpm" Type="http://schemas.openxmlformats.org/officeDocument/2006/relationships/hyperlink" Target="https://lef-ai-af3c2.web.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2026-03-06T00:38:55.440Z</dcterms:created>
  <dcterms:modified xsi:type="dcterms:W3CDTF">2026-03-06T00:38:55.440Z</dcterms:modified>
</cp:coreProperties>
</file>

<file path=docProps/custom.xml><?xml version="1.0" encoding="utf-8"?>
<Properties xmlns="http://schemas.openxmlformats.org/officeDocument/2006/custom-properties" xmlns:vt="http://schemas.openxmlformats.org/officeDocument/2006/docPropsVTypes"/>
</file>