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52"/>
        </w:rPr>
        <w:t>LEF Ed. Logistics — Revenue Roadmap &amp; P&amp;L</w:t>
      </w:r>
    </w:p>
    <w:p>
      <w:pPr>
        <w:jc w:val="center"/>
      </w:pPr>
      <w:r>
        <w:rPr>
          <w:rFonts w:ascii="Arial" w:hAnsi="Arial"/>
          <w:b w:val="0"/>
          <w:color w:val="1F3864"/>
          <w:sz w:val="28"/>
        </w:rPr>
        <w:t>Pricing Strategy, Operating Expenses &amp; Revenue Milestones</w:t>
      </w:r>
    </w:p>
    <w:p>
      <w:pPr>
        <w:jc w:val="center"/>
      </w:pPr>
      <w:r>
        <w:rPr>
          <w:rFonts w:ascii="Arial" w:hAnsi="Arial"/>
          <w:color w:val="666666"/>
          <w:sz w:val="20"/>
        </w:rPr>
        <w:t>Co Creator LLC (dba LEF Ai)  |  Living Eden Frameworks  |  lefliving.com  |  NV LLC  |  EIN on file  |  Founder: Zontonnia Moore</w:t>
        <w:br/>
        <w:t>Patent Pending: U.S. App. No. 63/993,278 · 63/993,317  |  March 2026</w:t>
      </w:r>
    </w:p>
    <w:p/>
    <w:p>
      <w:pPr>
        <w:spacing w:before="320" w:after="80"/>
        <w:pBdr>
          <w:bottom w:val="single" w:sz="6" w:space="1" w:color="1F3864"/>
        </w:pBdr>
      </w:pPr>
      <w:r>
        <w:rPr>
          <w:rFonts w:ascii="Arial" w:hAnsi="Arial"/>
          <w:b/>
          <w:color w:val="1F3864"/>
          <w:sz w:val="32"/>
        </w:rPr>
        <w:t>1. Pricing Philosophy</w:t>
      </w:r>
    </w:p>
    <w:p>
      <w:pPr>
        <w:spacing w:after="120"/>
      </w:pPr>
      <w:r>
        <w:rPr>
          <w:rFonts w:ascii="Arial" w:hAnsi="Arial"/>
          <w:color w:val="000000"/>
          <w:sz w:val="22"/>
        </w:rPr>
        <w:t>LEF Ed. Logistics uses value-based pricing anchored to the measurable outcomes the diagnostic engine produces — not to development cost or comparable market pricing. EdTech tools that compete on feature parity are priced on cost. LEF Ed is priced on value: reduced referral costs, earlier identification of academic risk, demonstrable intervention ROI.</w:t>
      </w:r>
    </w:p>
    <w:p>
      <w:pPr>
        <w:spacing w:after="120"/>
      </w:pPr>
      <w:r>
        <w:rPr>
          <w:rFonts w:ascii="Arial" w:hAnsi="Arial"/>
          <w:color w:val="000000"/>
          <w:sz w:val="22"/>
        </w:rPr>
        <w:t>The pricing model uses annual contract fees, not per-seat or per-module licensing. This approach keeps the per-school cost individually defensible to school boards and avoids the sticker shock of large per-district totals while preserving full value capture at the relationship level.</w:t>
      </w:r>
    </w:p>
    <w:p>
      <w:pPr>
        <w:spacing w:before="320" w:after="80"/>
        <w:pBdr>
          <w:bottom w:val="single" w:sz="6" w:space="1" w:color="1F3864"/>
        </w:pBdr>
      </w:pPr>
      <w:r>
        <w:rPr>
          <w:rFonts w:ascii="Arial" w:hAnsi="Arial"/>
          <w:b/>
          <w:color w:val="1F3864"/>
          <w:sz w:val="32"/>
        </w:rPr>
        <w:t>2. Pricing Tiers</w:t>
      </w:r>
    </w:p>
    <w:p>
      <w:pPr>
        <w:spacing w:before="240" w:after="40"/>
      </w:pPr>
      <w:r>
        <w:rPr>
          <w:rFonts w:ascii="Arial" w:hAnsi="Arial"/>
          <w:b/>
          <w:color w:val="1F3864"/>
          <w:sz w:val="26"/>
        </w:rPr>
        <w:t>2.1  Charter / Private Schools (Per-School Annual Fee)</w:t>
      </w:r>
    </w:p>
    <w:tbl>
      <w:tblPr>
        <w:tblW w:type="auto" w:w="0"/>
        <w:jc w:val="left"/>
        <w:tblLook w:firstColumn="1" w:firstRow="1" w:lastColumn="0" w:lastRow="0" w:noHBand="0" w:noVBand="1" w:val="04A0"/>
        <w:tblW w:w="5000" w:type="pct"/>
      </w:tblPr>
      <w:tblGrid>
        <w:gridCol w:w="2340"/>
        <w:gridCol w:w="2340"/>
        <w:gridCol w:w="2340"/>
        <w:gridCol w:w="2340"/>
      </w:tblGrid>
      <w:tr>
        <w:tc>
          <w:tcPr>
            <w:tcW w:type="dxa" w:w="2592"/>
            <w:shd w:val="clear" w:color="auto" w:fill="1F3864"/>
            <w:vAlign w:val="center"/>
          </w:tcPr>
          <w:p>
            <w:pPr>
              <w:jc w:val="left"/>
            </w:pPr>
            <w:r>
              <w:rPr>
                <w:rFonts w:ascii="Arial" w:hAnsi="Arial"/>
                <w:b/>
                <w:color w:val="FFFFFF"/>
                <w:sz w:val="20"/>
              </w:rPr>
              <w:t>Campus Type</w:t>
            </w:r>
          </w:p>
        </w:tc>
        <w:tc>
          <w:tcPr>
            <w:tcW w:type="dxa" w:w="2160"/>
            <w:shd w:val="clear" w:color="auto" w:fill="1F3864"/>
            <w:vAlign w:val="center"/>
          </w:tcPr>
          <w:p>
            <w:pPr>
              <w:jc w:val="left"/>
            </w:pPr>
            <w:r>
              <w:rPr>
                <w:rFonts w:ascii="Arial" w:hAnsi="Arial"/>
                <w:b/>
                <w:color w:val="FFFFFF"/>
                <w:sz w:val="20"/>
              </w:rPr>
              <w:t>Annual Enrollment</w:t>
            </w:r>
          </w:p>
        </w:tc>
        <w:tc>
          <w:tcPr>
            <w:tcW w:type="dxa" w:w="2160"/>
            <w:shd w:val="clear" w:color="auto" w:fill="1F3864"/>
            <w:vAlign w:val="center"/>
          </w:tcPr>
          <w:p>
            <w:pPr>
              <w:jc w:val="left"/>
            </w:pPr>
            <w:r>
              <w:rPr>
                <w:rFonts w:ascii="Arial" w:hAnsi="Arial"/>
                <w:b/>
                <w:color w:val="FFFFFF"/>
                <w:sz w:val="20"/>
              </w:rPr>
              <w:t>Annual Contract</w:t>
            </w:r>
          </w:p>
        </w:tc>
        <w:tc>
          <w:tcPr>
            <w:tcW w:type="dxa" w:w="3888"/>
            <w:shd w:val="clear" w:color="auto" w:fill="1F3864"/>
            <w:vAlign w:val="center"/>
          </w:tcPr>
          <w:p>
            <w:pPr>
              <w:jc w:val="left"/>
            </w:pPr>
            <w:r>
              <w:rPr>
                <w:rFonts w:ascii="Arial" w:hAnsi="Arial"/>
                <w:b/>
                <w:color w:val="FFFFFF"/>
                <w:sz w:val="20"/>
              </w:rPr>
              <w:t>Notes</w:t>
            </w:r>
          </w:p>
        </w:tc>
      </w:tr>
      <w:tr>
        <w:tc>
          <w:tcPr>
            <w:tcW w:type="dxa" w:w="2592"/>
            <w:shd w:val="clear" w:color="auto" w:fill="FFFFFF"/>
            <w:vAlign w:val="center"/>
          </w:tcPr>
          <w:p>
            <w:pPr>
              <w:jc w:val="left"/>
            </w:pPr>
            <w:r>
              <w:rPr>
                <w:rFonts w:ascii="Arial" w:hAnsi="Arial"/>
                <w:color w:val="000000"/>
                <w:sz w:val="20"/>
              </w:rPr>
              <w:t>Single campus, small</w:t>
            </w:r>
          </w:p>
        </w:tc>
        <w:tc>
          <w:tcPr>
            <w:tcW w:type="dxa" w:w="2160"/>
            <w:shd w:val="clear" w:color="auto" w:fill="FFFFFF"/>
            <w:vAlign w:val="center"/>
          </w:tcPr>
          <w:p>
            <w:pPr>
              <w:jc w:val="left"/>
            </w:pPr>
            <w:r>
              <w:rPr>
                <w:rFonts w:ascii="Arial" w:hAnsi="Arial"/>
                <w:color w:val="000000"/>
                <w:sz w:val="20"/>
              </w:rPr>
              <w:t>1–500 students</w:t>
            </w:r>
          </w:p>
        </w:tc>
        <w:tc>
          <w:tcPr>
            <w:tcW w:type="dxa" w:w="2160"/>
            <w:shd w:val="clear" w:color="auto" w:fill="FFFFFF"/>
            <w:vAlign w:val="center"/>
          </w:tcPr>
          <w:p>
            <w:pPr>
              <w:jc w:val="left"/>
            </w:pPr>
            <w:r>
              <w:rPr>
                <w:rFonts w:ascii="Arial" w:hAnsi="Arial"/>
                <w:color w:val="000000"/>
                <w:sz w:val="20"/>
              </w:rPr>
              <w:t>$12,000–$18,000</w:t>
            </w:r>
          </w:p>
        </w:tc>
        <w:tc>
          <w:tcPr>
            <w:tcW w:type="dxa" w:w="3888"/>
            <w:shd w:val="clear" w:color="auto" w:fill="FFFFFF"/>
            <w:vAlign w:val="center"/>
          </w:tcPr>
          <w:p>
            <w:pPr>
              <w:jc w:val="left"/>
            </w:pPr>
            <w:r>
              <w:rPr>
                <w:rFonts w:ascii="Arial" w:hAnsi="Arial"/>
                <w:color w:val="000000"/>
                <w:sz w:val="20"/>
              </w:rPr>
              <w:t>Entry-level; covers pilot through standard use</w:t>
            </w:r>
          </w:p>
        </w:tc>
      </w:tr>
      <w:tr>
        <w:tc>
          <w:tcPr>
            <w:tcW w:type="dxa" w:w="2592"/>
            <w:shd w:val="clear" w:color="auto" w:fill="F2F2F2"/>
            <w:vAlign w:val="center"/>
          </w:tcPr>
          <w:p>
            <w:pPr>
              <w:jc w:val="left"/>
            </w:pPr>
            <w:r>
              <w:rPr>
                <w:rFonts w:ascii="Arial" w:hAnsi="Arial"/>
                <w:color w:val="000000"/>
                <w:sz w:val="20"/>
              </w:rPr>
              <w:t>Single campus, mid</w:t>
            </w:r>
          </w:p>
        </w:tc>
        <w:tc>
          <w:tcPr>
            <w:tcW w:type="dxa" w:w="2160"/>
            <w:shd w:val="clear" w:color="auto" w:fill="F2F2F2"/>
            <w:vAlign w:val="center"/>
          </w:tcPr>
          <w:p>
            <w:pPr>
              <w:jc w:val="left"/>
            </w:pPr>
            <w:r>
              <w:rPr>
                <w:rFonts w:ascii="Arial" w:hAnsi="Arial"/>
                <w:color w:val="000000"/>
                <w:sz w:val="20"/>
              </w:rPr>
              <w:t>501–1,000 students</w:t>
            </w:r>
          </w:p>
        </w:tc>
        <w:tc>
          <w:tcPr>
            <w:tcW w:type="dxa" w:w="2160"/>
            <w:shd w:val="clear" w:color="auto" w:fill="F2F2F2"/>
            <w:vAlign w:val="center"/>
          </w:tcPr>
          <w:p>
            <w:pPr>
              <w:jc w:val="left"/>
            </w:pPr>
            <w:r>
              <w:rPr>
                <w:rFonts w:ascii="Arial" w:hAnsi="Arial"/>
                <w:color w:val="000000"/>
                <w:sz w:val="20"/>
              </w:rPr>
              <w:t>$20,000–$35,000</w:t>
            </w:r>
          </w:p>
        </w:tc>
        <w:tc>
          <w:tcPr>
            <w:tcW w:type="dxa" w:w="3888"/>
            <w:shd w:val="clear" w:color="auto" w:fill="F2F2F2"/>
            <w:vAlign w:val="center"/>
          </w:tcPr>
          <w:p>
            <w:pPr>
              <w:jc w:val="left"/>
            </w:pPr>
            <w:r>
              <w:rPr>
                <w:rFonts w:ascii="Arial" w:hAnsi="Arial"/>
                <w:color w:val="000000"/>
                <w:sz w:val="20"/>
              </w:rPr>
              <w:t>Full diagnostic suite + study packets</w:t>
            </w:r>
          </w:p>
        </w:tc>
      </w:tr>
      <w:tr>
        <w:tc>
          <w:tcPr>
            <w:tcW w:type="dxa" w:w="2592"/>
            <w:shd w:val="clear" w:color="auto" w:fill="FFFFFF"/>
            <w:vAlign w:val="center"/>
          </w:tcPr>
          <w:p>
            <w:pPr>
              <w:jc w:val="left"/>
            </w:pPr>
            <w:r>
              <w:rPr>
                <w:rFonts w:ascii="Arial" w:hAnsi="Arial"/>
                <w:color w:val="000000"/>
                <w:sz w:val="20"/>
              </w:rPr>
              <w:t>Single campus, large</w:t>
            </w:r>
          </w:p>
        </w:tc>
        <w:tc>
          <w:tcPr>
            <w:tcW w:type="dxa" w:w="2160"/>
            <w:shd w:val="clear" w:color="auto" w:fill="FFFFFF"/>
            <w:vAlign w:val="center"/>
          </w:tcPr>
          <w:p>
            <w:pPr>
              <w:jc w:val="left"/>
            </w:pPr>
            <w:r>
              <w:rPr>
                <w:rFonts w:ascii="Arial" w:hAnsi="Arial"/>
                <w:color w:val="000000"/>
                <w:sz w:val="20"/>
              </w:rPr>
              <w:t>1,001–2,000 students</w:t>
            </w:r>
          </w:p>
        </w:tc>
        <w:tc>
          <w:tcPr>
            <w:tcW w:type="dxa" w:w="2160"/>
            <w:shd w:val="clear" w:color="auto" w:fill="FFFFFF"/>
            <w:vAlign w:val="center"/>
          </w:tcPr>
          <w:p>
            <w:pPr>
              <w:jc w:val="left"/>
            </w:pPr>
            <w:r>
              <w:rPr>
                <w:rFonts w:ascii="Arial" w:hAnsi="Arial"/>
                <w:color w:val="000000"/>
                <w:sz w:val="20"/>
              </w:rPr>
              <w:t>$40,000–$65,000</w:t>
            </w:r>
          </w:p>
        </w:tc>
        <w:tc>
          <w:tcPr>
            <w:tcW w:type="dxa" w:w="3888"/>
            <w:shd w:val="clear" w:color="auto" w:fill="FFFFFF"/>
            <w:vAlign w:val="center"/>
          </w:tcPr>
          <w:p>
            <w:pPr>
              <w:jc w:val="left"/>
            </w:pPr>
            <w:r>
              <w:rPr>
                <w:rFonts w:ascii="Arial" w:hAnsi="Arial"/>
                <w:color w:val="000000"/>
                <w:sz w:val="20"/>
              </w:rPr>
              <w:t>Includes IEP module (Phase 2)</w:t>
            </w:r>
          </w:p>
        </w:tc>
      </w:tr>
      <w:tr>
        <w:tc>
          <w:tcPr>
            <w:tcW w:type="dxa" w:w="2592"/>
            <w:shd w:val="clear" w:color="auto" w:fill="F2F2F2"/>
            <w:vAlign w:val="center"/>
          </w:tcPr>
          <w:p>
            <w:pPr>
              <w:jc w:val="left"/>
            </w:pPr>
            <w:r>
              <w:rPr>
                <w:rFonts w:ascii="Arial" w:hAnsi="Arial"/>
                <w:color w:val="000000"/>
                <w:sz w:val="20"/>
              </w:rPr>
              <w:t>Charter network (2–3 campuses)</w:t>
            </w:r>
          </w:p>
        </w:tc>
        <w:tc>
          <w:tcPr>
            <w:tcW w:type="dxa" w:w="2160"/>
            <w:shd w:val="clear" w:color="auto" w:fill="F2F2F2"/>
            <w:vAlign w:val="center"/>
          </w:tcPr>
          <w:p>
            <w:pPr>
              <w:jc w:val="left"/>
            </w:pPr>
            <w:r>
              <w:rPr>
                <w:rFonts w:ascii="Arial" w:hAnsi="Arial"/>
                <w:color w:val="000000"/>
                <w:sz w:val="20"/>
              </w:rPr>
              <w:t>2,001–5,000 students</w:t>
            </w:r>
          </w:p>
        </w:tc>
        <w:tc>
          <w:tcPr>
            <w:tcW w:type="dxa" w:w="2160"/>
            <w:shd w:val="clear" w:color="auto" w:fill="F2F2F2"/>
            <w:vAlign w:val="center"/>
          </w:tcPr>
          <w:p>
            <w:pPr>
              <w:jc w:val="left"/>
            </w:pPr>
            <w:r>
              <w:rPr>
                <w:rFonts w:ascii="Arial" w:hAnsi="Arial"/>
                <w:color w:val="000000"/>
                <w:sz w:val="20"/>
              </w:rPr>
              <w:t>$70,000–$95,000</w:t>
            </w:r>
          </w:p>
        </w:tc>
        <w:tc>
          <w:tcPr>
            <w:tcW w:type="dxa" w:w="3888"/>
            <w:shd w:val="clear" w:color="auto" w:fill="F2F2F2"/>
            <w:vAlign w:val="center"/>
          </w:tcPr>
          <w:p>
            <w:pPr>
              <w:jc w:val="left"/>
            </w:pPr>
            <w:r>
              <w:rPr>
                <w:rFonts w:ascii="Arial" w:hAnsi="Arial"/>
                <w:color w:val="000000"/>
                <w:sz w:val="20"/>
              </w:rPr>
              <w:t>Multi-campus coordination view</w:t>
            </w:r>
          </w:p>
        </w:tc>
      </w:tr>
      <w:tr>
        <w:tc>
          <w:tcPr>
            <w:tcW w:type="dxa" w:w="2592"/>
            <w:shd w:val="clear" w:color="auto" w:fill="FFFFFF"/>
            <w:vAlign w:val="center"/>
          </w:tcPr>
          <w:p>
            <w:pPr>
              <w:jc w:val="left"/>
            </w:pPr>
            <w:r>
              <w:rPr>
                <w:rFonts w:ascii="Arial" w:hAnsi="Arial"/>
                <w:color w:val="000000"/>
                <w:sz w:val="20"/>
              </w:rPr>
              <w:t>Charter network (4+ campuses)</w:t>
            </w:r>
          </w:p>
        </w:tc>
        <w:tc>
          <w:tcPr>
            <w:tcW w:type="dxa" w:w="2160"/>
            <w:shd w:val="clear" w:color="auto" w:fill="FFFFFF"/>
            <w:vAlign w:val="center"/>
          </w:tcPr>
          <w:p>
            <w:pPr>
              <w:jc w:val="left"/>
            </w:pPr>
            <w:r>
              <w:rPr>
                <w:rFonts w:ascii="Arial" w:hAnsi="Arial"/>
                <w:color w:val="000000"/>
                <w:sz w:val="20"/>
              </w:rPr>
              <w:t>5,001+ students</w:t>
            </w:r>
          </w:p>
        </w:tc>
        <w:tc>
          <w:tcPr>
            <w:tcW w:type="dxa" w:w="2160"/>
            <w:shd w:val="clear" w:color="auto" w:fill="FFFFFF"/>
            <w:vAlign w:val="center"/>
          </w:tcPr>
          <w:p>
            <w:pPr>
              <w:jc w:val="left"/>
            </w:pPr>
            <w:r>
              <w:rPr>
                <w:rFonts w:ascii="Arial" w:hAnsi="Arial"/>
                <w:color w:val="000000"/>
                <w:sz w:val="20"/>
              </w:rPr>
              <w:t>$85,000–$130,000</w:t>
            </w:r>
          </w:p>
        </w:tc>
        <w:tc>
          <w:tcPr>
            <w:tcW w:type="dxa" w:w="3888"/>
            <w:shd w:val="clear" w:color="auto" w:fill="FFFFFF"/>
            <w:vAlign w:val="center"/>
          </w:tcPr>
          <w:p>
            <w:pPr>
              <w:jc w:val="left"/>
            </w:pPr>
            <w:r>
              <w:rPr>
                <w:rFonts w:ascii="Arial" w:hAnsi="Arial"/>
                <w:color w:val="000000"/>
                <w:sz w:val="20"/>
              </w:rPr>
              <w:t>Full network + district view stub</w:t>
            </w:r>
          </w:p>
        </w:tc>
      </w:tr>
    </w:tbl>
    <w:p>
      <w:pPr>
        <w:spacing w:after="120"/>
      </w:pPr>
      <w:r>
        <w:rPr>
          <w:rFonts w:ascii="Arial" w:hAnsi="Arial"/>
          <w:i/>
          <w:color w:val="666666"/>
          <w:sz w:val="20"/>
        </w:rPr>
        <w:t>Coral Academy pilot target: $12,000–$18,000/year (single campus, ~300 students). Scales to network rate if additional campuses are added. Primary funding vehicle: Title IV-A.</w:t>
      </w:r>
    </w:p>
    <w:p>
      <w:pPr>
        <w:spacing w:before="240" w:after="40"/>
      </w:pPr>
      <w:r>
        <w:rPr>
          <w:rFonts w:ascii="Arial" w:hAnsi="Arial"/>
          <w:b/>
          <w:color w:val="1F3864"/>
          <w:sz w:val="26"/>
        </w:rPr>
        <w:t>2.2  Public Districts (PSPY Cap + Loyalty Pricing)</w:t>
      </w:r>
    </w:p>
    <w:p>
      <w:pPr>
        <w:spacing w:after="120"/>
      </w:pPr>
      <w:r>
        <w:rPr>
          <w:rFonts w:ascii="Arial" w:hAnsi="Arial"/>
          <w:color w:val="000000"/>
          <w:sz w:val="22"/>
        </w:rPr>
        <w:t>For mid-size and enterprise public districts, pricing is structured as a base-term rate (per student per year, PSPY) with a loyalty renewal rate written into the original contract. This structure eliminates sticker shock at the district level while rewarding continuity — and it is fully compatible with Nevada public procurement law (NRS Chapter 332), which allows renewal options to be exercised under the original contract without triggering a new competitive bid.</w:t>
      </w:r>
    </w:p>
    <w:p>
      <w:pPr>
        <w:spacing w:after="120"/>
      </w:pPr>
      <w:r>
        <w:rPr>
          <w:rFonts w:ascii="Arial" w:hAnsi="Arial"/>
          <w:b w:val="0"/>
          <w:color w:val="000000"/>
          <w:sz w:val="22"/>
        </w:rPr>
        <w:t xml:space="preserve">Pricing cap: </w:t>
      </w:r>
      <w:r>
        <w:rPr>
          <w:rFonts w:ascii="Arial" w:hAnsi="Arial"/>
          <w:b/>
          <w:color w:val="000000"/>
          <w:sz w:val="22"/>
        </w:rPr>
        <w:t>$5.00 PSPY (base term). Loyalty renewal rate: $3.50 PSPY (written into original contract as a renewal option). If a district lets the contract lapse and rebids: $5.00 PSPY reopens as the opening bid.</w:t>
      </w:r>
    </w:p>
    <w:tbl>
      <w:tblPr>
        <w:tblW w:type="auto" w:w="0"/>
        <w:jc w:val="left"/>
        <w:tblLook w:firstColumn="1" w:firstRow="1" w:lastColumn="0" w:lastRow="0" w:noHBand="0" w:noVBand="1" w:val="04A0"/>
        <w:tblW w:w="5000" w:type="pct"/>
      </w:tblPr>
      <w:tblGrid>
        <w:gridCol w:w="1872"/>
        <w:gridCol w:w="1872"/>
        <w:gridCol w:w="1872"/>
        <w:gridCol w:w="1872"/>
        <w:gridCol w:w="1872"/>
      </w:tblGrid>
      <w:tr>
        <w:tc>
          <w:tcPr>
            <w:tcW w:type="dxa" w:w="2160"/>
            <w:shd w:val="clear" w:color="auto" w:fill="1F3864"/>
            <w:vAlign w:val="center"/>
          </w:tcPr>
          <w:p>
            <w:pPr>
              <w:jc w:val="left"/>
            </w:pPr>
            <w:r>
              <w:rPr>
                <w:rFonts w:ascii="Arial" w:hAnsi="Arial"/>
                <w:b/>
                <w:color w:val="FFFFFF"/>
                <w:sz w:val="20"/>
              </w:rPr>
              <w:t>District Type</w:t>
            </w:r>
          </w:p>
        </w:tc>
        <w:tc>
          <w:tcPr>
            <w:tcW w:type="dxa" w:w="1872"/>
            <w:shd w:val="clear" w:color="auto" w:fill="1F3864"/>
            <w:vAlign w:val="center"/>
          </w:tcPr>
          <w:p>
            <w:pPr>
              <w:jc w:val="left"/>
            </w:pPr>
            <w:r>
              <w:rPr>
                <w:rFonts w:ascii="Arial" w:hAnsi="Arial"/>
                <w:b/>
                <w:color w:val="FFFFFF"/>
                <w:sz w:val="20"/>
              </w:rPr>
              <w:t>Enrollment</w:t>
            </w:r>
          </w:p>
        </w:tc>
        <w:tc>
          <w:tcPr>
            <w:tcW w:type="dxa" w:w="1728"/>
            <w:shd w:val="clear" w:color="auto" w:fill="1F3864"/>
            <w:vAlign w:val="center"/>
          </w:tcPr>
          <w:p>
            <w:pPr>
              <w:jc w:val="left"/>
            </w:pPr>
            <w:r>
              <w:rPr>
                <w:rFonts w:ascii="Arial" w:hAnsi="Arial"/>
                <w:b/>
                <w:color w:val="FFFFFF"/>
                <w:sz w:val="20"/>
              </w:rPr>
              <w:t>Base Term (PSPY)</w:t>
            </w:r>
          </w:p>
        </w:tc>
        <w:tc>
          <w:tcPr>
            <w:tcW w:type="dxa" w:w="1872"/>
            <w:shd w:val="clear" w:color="auto" w:fill="1F3864"/>
            <w:vAlign w:val="center"/>
          </w:tcPr>
          <w:p>
            <w:pPr>
              <w:jc w:val="left"/>
            </w:pPr>
            <w:r>
              <w:rPr>
                <w:rFonts w:ascii="Arial" w:hAnsi="Arial"/>
                <w:b/>
                <w:color w:val="FFFFFF"/>
                <w:sz w:val="20"/>
              </w:rPr>
              <w:t>Renewal Option (PSPY)</w:t>
            </w:r>
          </w:p>
        </w:tc>
        <w:tc>
          <w:tcPr>
            <w:tcW w:type="dxa" w:w="3168"/>
            <w:shd w:val="clear" w:color="auto" w:fill="1F3864"/>
            <w:vAlign w:val="center"/>
          </w:tcPr>
          <w:p>
            <w:pPr>
              <w:jc w:val="left"/>
            </w:pPr>
            <w:r>
              <w:rPr>
                <w:rFonts w:ascii="Arial" w:hAnsi="Arial"/>
                <w:b/>
                <w:color w:val="FFFFFF"/>
                <w:sz w:val="20"/>
              </w:rPr>
              <w:t>Est. Annual Contract (Base)</w:t>
            </w:r>
          </w:p>
        </w:tc>
      </w:tr>
      <w:tr>
        <w:tc>
          <w:tcPr>
            <w:tcW w:type="dxa" w:w="2160"/>
            <w:shd w:val="clear" w:color="auto" w:fill="FFFFFF"/>
            <w:vAlign w:val="center"/>
          </w:tcPr>
          <w:p>
            <w:pPr>
              <w:jc w:val="left"/>
            </w:pPr>
            <w:r>
              <w:rPr>
                <w:rFonts w:ascii="Arial" w:hAnsi="Arial"/>
                <w:color w:val="000000"/>
                <w:sz w:val="20"/>
              </w:rPr>
              <w:t>Small district</w:t>
            </w:r>
          </w:p>
        </w:tc>
        <w:tc>
          <w:tcPr>
            <w:tcW w:type="dxa" w:w="1872"/>
            <w:shd w:val="clear" w:color="auto" w:fill="FFFFFF"/>
            <w:vAlign w:val="center"/>
          </w:tcPr>
          <w:p>
            <w:pPr>
              <w:jc w:val="left"/>
            </w:pPr>
            <w:r>
              <w:rPr>
                <w:rFonts w:ascii="Arial" w:hAnsi="Arial"/>
                <w:color w:val="000000"/>
                <w:sz w:val="20"/>
              </w:rPr>
              <w:t>&lt;5,000</w:t>
            </w:r>
          </w:p>
        </w:tc>
        <w:tc>
          <w:tcPr>
            <w:tcW w:type="dxa" w:w="1728"/>
            <w:shd w:val="clear" w:color="auto" w:fill="FFFFFF"/>
            <w:vAlign w:val="center"/>
          </w:tcPr>
          <w:p>
            <w:pPr>
              <w:jc w:val="left"/>
            </w:pPr>
            <w:r>
              <w:rPr>
                <w:rFonts w:ascii="Arial" w:hAnsi="Arial"/>
                <w:color w:val="000000"/>
                <w:sz w:val="20"/>
              </w:rPr>
              <w:t>$5.00</w:t>
            </w:r>
          </w:p>
        </w:tc>
        <w:tc>
          <w:tcPr>
            <w:tcW w:type="dxa" w:w="1872"/>
            <w:shd w:val="clear" w:color="auto" w:fill="FFFFFF"/>
            <w:vAlign w:val="center"/>
          </w:tcPr>
          <w:p>
            <w:pPr>
              <w:jc w:val="left"/>
            </w:pPr>
            <w:r>
              <w:rPr>
                <w:rFonts w:ascii="Arial" w:hAnsi="Arial"/>
                <w:color w:val="000000"/>
                <w:sz w:val="20"/>
              </w:rPr>
              <w:t>$3.50</w:t>
            </w:r>
          </w:p>
        </w:tc>
        <w:tc>
          <w:tcPr>
            <w:tcW w:type="dxa" w:w="3168"/>
            <w:shd w:val="clear" w:color="auto" w:fill="FFFFFF"/>
            <w:vAlign w:val="center"/>
          </w:tcPr>
          <w:p>
            <w:pPr>
              <w:jc w:val="left"/>
            </w:pPr>
            <w:r>
              <w:rPr>
                <w:rFonts w:ascii="Arial" w:hAnsi="Arial"/>
                <w:color w:val="000000"/>
                <w:sz w:val="20"/>
              </w:rPr>
              <w:t>$25,000–$50,000</w:t>
            </w:r>
          </w:p>
        </w:tc>
      </w:tr>
      <w:tr>
        <w:tc>
          <w:tcPr>
            <w:tcW w:type="dxa" w:w="2160"/>
            <w:shd w:val="clear" w:color="auto" w:fill="F2F2F2"/>
            <w:vAlign w:val="center"/>
          </w:tcPr>
          <w:p>
            <w:pPr>
              <w:jc w:val="left"/>
            </w:pPr>
            <w:r>
              <w:rPr>
                <w:rFonts w:ascii="Arial" w:hAnsi="Arial"/>
                <w:color w:val="000000"/>
                <w:sz w:val="20"/>
              </w:rPr>
              <w:t>Medium district</w:t>
            </w:r>
          </w:p>
        </w:tc>
        <w:tc>
          <w:tcPr>
            <w:tcW w:type="dxa" w:w="1872"/>
            <w:shd w:val="clear" w:color="auto" w:fill="F2F2F2"/>
            <w:vAlign w:val="center"/>
          </w:tcPr>
          <w:p>
            <w:pPr>
              <w:jc w:val="left"/>
            </w:pPr>
            <w:r>
              <w:rPr>
                <w:rFonts w:ascii="Arial" w:hAnsi="Arial"/>
                <w:color w:val="000000"/>
                <w:sz w:val="20"/>
              </w:rPr>
              <w:t>5,001–25,000</w:t>
            </w:r>
          </w:p>
        </w:tc>
        <w:tc>
          <w:tcPr>
            <w:tcW w:type="dxa" w:w="1728"/>
            <w:shd w:val="clear" w:color="auto" w:fill="F2F2F2"/>
            <w:vAlign w:val="center"/>
          </w:tcPr>
          <w:p>
            <w:pPr>
              <w:jc w:val="left"/>
            </w:pPr>
            <w:r>
              <w:rPr>
                <w:rFonts w:ascii="Arial" w:hAnsi="Arial"/>
                <w:color w:val="000000"/>
                <w:sz w:val="20"/>
              </w:rPr>
              <w:t>$4.50</w:t>
            </w:r>
          </w:p>
        </w:tc>
        <w:tc>
          <w:tcPr>
            <w:tcW w:type="dxa" w:w="1872"/>
            <w:shd w:val="clear" w:color="auto" w:fill="F2F2F2"/>
            <w:vAlign w:val="center"/>
          </w:tcPr>
          <w:p>
            <w:pPr>
              <w:jc w:val="left"/>
            </w:pPr>
            <w:r>
              <w:rPr>
                <w:rFonts w:ascii="Arial" w:hAnsi="Arial"/>
                <w:color w:val="000000"/>
                <w:sz w:val="20"/>
              </w:rPr>
              <w:t>$3.25</w:t>
            </w:r>
          </w:p>
        </w:tc>
        <w:tc>
          <w:tcPr>
            <w:tcW w:type="dxa" w:w="3168"/>
            <w:shd w:val="clear" w:color="auto" w:fill="F2F2F2"/>
            <w:vAlign w:val="center"/>
          </w:tcPr>
          <w:p>
            <w:pPr>
              <w:jc w:val="left"/>
            </w:pPr>
            <w:r>
              <w:rPr>
                <w:rFonts w:ascii="Arial" w:hAnsi="Arial"/>
                <w:color w:val="000000"/>
                <w:sz w:val="20"/>
              </w:rPr>
              <w:t>$75,000–$130,000</w:t>
            </w:r>
          </w:p>
        </w:tc>
      </w:tr>
      <w:tr>
        <w:tc>
          <w:tcPr>
            <w:tcW w:type="dxa" w:w="2160"/>
            <w:shd w:val="clear" w:color="auto" w:fill="FFFFFF"/>
            <w:vAlign w:val="center"/>
          </w:tcPr>
          <w:p>
            <w:pPr>
              <w:jc w:val="left"/>
            </w:pPr>
            <w:r>
              <w:rPr>
                <w:rFonts w:ascii="Arial" w:hAnsi="Arial"/>
                <w:color w:val="000000"/>
                <w:sz w:val="20"/>
              </w:rPr>
              <w:t>Large district</w:t>
            </w:r>
          </w:p>
        </w:tc>
        <w:tc>
          <w:tcPr>
            <w:tcW w:type="dxa" w:w="1872"/>
            <w:shd w:val="clear" w:color="auto" w:fill="FFFFFF"/>
            <w:vAlign w:val="center"/>
          </w:tcPr>
          <w:p>
            <w:pPr>
              <w:jc w:val="left"/>
            </w:pPr>
            <w:r>
              <w:rPr>
                <w:rFonts w:ascii="Arial" w:hAnsi="Arial"/>
                <w:color w:val="000000"/>
                <w:sz w:val="20"/>
              </w:rPr>
              <w:t>25,001–100,000</w:t>
            </w:r>
          </w:p>
        </w:tc>
        <w:tc>
          <w:tcPr>
            <w:tcW w:type="dxa" w:w="1728"/>
            <w:shd w:val="clear" w:color="auto" w:fill="FFFFFF"/>
            <w:vAlign w:val="center"/>
          </w:tcPr>
          <w:p>
            <w:pPr>
              <w:jc w:val="left"/>
            </w:pPr>
            <w:r>
              <w:rPr>
                <w:rFonts w:ascii="Arial" w:hAnsi="Arial"/>
                <w:color w:val="000000"/>
                <w:sz w:val="20"/>
              </w:rPr>
              <w:t>$4.00</w:t>
            </w:r>
          </w:p>
        </w:tc>
        <w:tc>
          <w:tcPr>
            <w:tcW w:type="dxa" w:w="1872"/>
            <w:shd w:val="clear" w:color="auto" w:fill="FFFFFF"/>
            <w:vAlign w:val="center"/>
          </w:tcPr>
          <w:p>
            <w:pPr>
              <w:jc w:val="left"/>
            </w:pPr>
            <w:r>
              <w:rPr>
                <w:rFonts w:ascii="Arial" w:hAnsi="Arial"/>
                <w:color w:val="000000"/>
                <w:sz w:val="20"/>
              </w:rPr>
              <w:t>$3.00</w:t>
            </w:r>
          </w:p>
        </w:tc>
        <w:tc>
          <w:tcPr>
            <w:tcW w:type="dxa" w:w="3168"/>
            <w:shd w:val="clear" w:color="auto" w:fill="FFFFFF"/>
            <w:vAlign w:val="center"/>
          </w:tcPr>
          <w:p>
            <w:pPr>
              <w:jc w:val="left"/>
            </w:pPr>
            <w:r>
              <w:rPr>
                <w:rFonts w:ascii="Arial" w:hAnsi="Arial"/>
                <w:color w:val="000000"/>
                <w:sz w:val="20"/>
              </w:rPr>
              <w:t>$175,000–$325,000</w:t>
            </w:r>
          </w:p>
        </w:tc>
      </w:tr>
      <w:tr>
        <w:tc>
          <w:tcPr>
            <w:tcW w:type="dxa" w:w="2160"/>
            <w:shd w:val="clear" w:color="auto" w:fill="F2F2F2"/>
            <w:vAlign w:val="center"/>
          </w:tcPr>
          <w:p>
            <w:pPr>
              <w:jc w:val="left"/>
            </w:pPr>
            <w:r>
              <w:rPr>
                <w:rFonts w:ascii="Arial" w:hAnsi="Arial"/>
                <w:color w:val="000000"/>
                <w:sz w:val="20"/>
              </w:rPr>
              <w:t>Enterprise (CCSD-scale)</w:t>
            </w:r>
          </w:p>
        </w:tc>
        <w:tc>
          <w:tcPr>
            <w:tcW w:type="dxa" w:w="1872"/>
            <w:shd w:val="clear" w:color="auto" w:fill="F2F2F2"/>
            <w:vAlign w:val="center"/>
          </w:tcPr>
          <w:p>
            <w:pPr>
              <w:jc w:val="left"/>
            </w:pPr>
            <w:r>
              <w:rPr>
                <w:rFonts w:ascii="Arial" w:hAnsi="Arial"/>
                <w:color w:val="000000"/>
                <w:sz w:val="20"/>
              </w:rPr>
              <w:t>100,001–400,000</w:t>
            </w:r>
          </w:p>
        </w:tc>
        <w:tc>
          <w:tcPr>
            <w:tcW w:type="dxa" w:w="1728"/>
            <w:shd w:val="clear" w:color="auto" w:fill="F2F2F2"/>
            <w:vAlign w:val="center"/>
          </w:tcPr>
          <w:p>
            <w:pPr>
              <w:jc w:val="left"/>
            </w:pPr>
            <w:r>
              <w:rPr>
                <w:rFonts w:ascii="Arial" w:hAnsi="Arial"/>
                <w:color w:val="000000"/>
                <w:sz w:val="20"/>
              </w:rPr>
              <w:t>Per-school rate¹</w:t>
            </w:r>
          </w:p>
        </w:tc>
        <w:tc>
          <w:tcPr>
            <w:tcW w:type="dxa" w:w="1872"/>
            <w:shd w:val="clear" w:color="auto" w:fill="F2F2F2"/>
            <w:vAlign w:val="center"/>
          </w:tcPr>
          <w:p>
            <w:pPr>
              <w:jc w:val="left"/>
            </w:pPr>
            <w:r>
              <w:rPr>
                <w:rFonts w:ascii="Arial" w:hAnsi="Arial"/>
                <w:color w:val="000000"/>
                <w:sz w:val="20"/>
              </w:rPr>
              <w:t>Loyalty per-school rate¹</w:t>
            </w:r>
          </w:p>
        </w:tc>
        <w:tc>
          <w:tcPr>
            <w:tcW w:type="dxa" w:w="3168"/>
            <w:shd w:val="clear" w:color="auto" w:fill="F2F2F2"/>
            <w:vAlign w:val="center"/>
          </w:tcPr>
          <w:p>
            <w:pPr>
              <w:jc w:val="left"/>
            </w:pPr>
            <w:r>
              <w:rPr>
                <w:rFonts w:ascii="Arial" w:hAnsi="Arial"/>
                <w:color w:val="000000"/>
                <w:sz w:val="20"/>
              </w:rPr>
              <w:t>$900,000–$1,100,000</w:t>
            </w:r>
          </w:p>
        </w:tc>
      </w:tr>
    </w:tbl>
    <w:p>
      <w:pPr>
        <w:spacing w:after="120"/>
      </w:pPr>
      <w:r>
        <w:rPr>
          <w:rFonts w:ascii="Arial" w:hAnsi="Arial"/>
          <w:i/>
          <w:color w:val="666666"/>
          <w:sz w:val="20"/>
        </w:rPr>
        <w:t>¹ CCSD-scale enterprise contracts use a per-school rate of $3,500–$4,000/school (base term), reducing to $3,000/school on renewal option exercise. At 350 schools, this yields $1.05M–$1.4M base, negotiated to $900K–$1.1M as enterprise commitment. Effective PSPY: $3.00–$3.67 (base), $2.58 (loyalty) — well below the $5.00 PSPY cap.</w:t>
      </w:r>
    </w:p>
    <w:p>
      <w:pPr>
        <w:spacing w:after="120"/>
      </w:pPr>
      <w:r>
        <w:rPr>
          <w:rFonts w:ascii="Arial" w:hAnsi="Arial"/>
          <w:color w:val="000000"/>
          <w:sz w:val="22"/>
        </w:rPr>
        <w:t>The $5.00 PSPY cap applies to all mid-size district contracts. At CCSD scale, the enterprise per-school rate naturally prices below the cap — making the cap a ceiling that primarily protects mid-market districts from overpaying while keeping LEF Ed's pricing competitive across all district sizes.</w:t>
      </w:r>
    </w:p>
    <w:p>
      <w:pPr>
        <w:spacing w:before="240" w:after="40"/>
      </w:pPr>
      <w:r>
        <w:rPr>
          <w:rFonts w:ascii="Arial" w:hAnsi="Arial"/>
          <w:b/>
          <w:color w:val="1F3864"/>
          <w:sz w:val="26"/>
        </w:rPr>
        <w:t>2.3  Contract Duration &amp; Procurement Structure</w:t>
      </w:r>
    </w:p>
    <w:p>
      <w:pPr>
        <w:spacing w:after="120"/>
      </w:pPr>
      <w:r>
        <w:rPr>
          <w:rFonts w:ascii="Arial" w:hAnsi="Arial"/>
          <w:color w:val="000000"/>
          <w:sz w:val="22"/>
        </w:rPr>
        <w:t>Nevada public school districts are governed by NRS Chapter 332 for competitive procurement. Contracts above approximately $50,000–$100,000 require a formal Request for Proposal (RFP) process. However, two structural advantages protect LEF Ed's long-term contract position:</w:t>
      </w:r>
    </w:p>
    <w:p>
      <w:pPr>
        <w:spacing w:after="120"/>
      </w:pPr>
      <w:r>
        <w:rPr>
          <w:rFonts w:ascii="Arial" w:hAnsi="Arial"/>
          <w:b/>
          <w:color w:val="000000"/>
          <w:sz w:val="22"/>
        </w:rPr>
        <w:t>Renewal options</w:t>
      </w:r>
      <w:r>
        <w:rPr>
          <w:rFonts w:ascii="Arial" w:hAnsi="Arial"/>
          <w:b w:val="0"/>
          <w:color w:val="000000"/>
          <w:sz w:val="22"/>
        </w:rPr>
        <w:t>: Renewal options written into the original contract do not trigger a new RFP. A standard structure is a 3-year base term with two 1-year renewal options (total 5 years before mandatory rebid). Renewal pricing ($3.50 PSPY loyalty rate) is exercised under the original contract — no competitive process required.</w:t>
      </w:r>
    </w:p>
    <w:p>
      <w:pPr>
        <w:spacing w:after="120"/>
      </w:pPr>
      <w:r>
        <w:rPr>
          <w:rFonts w:ascii="Arial" w:hAnsi="Arial"/>
          <w:b/>
          <w:color w:val="000000"/>
          <w:sz w:val="22"/>
        </w:rPr>
        <w:t>Sole-source justification</w:t>
      </w:r>
      <w:r>
        <w:rPr>
          <w:rFonts w:ascii="Arial" w:hAnsi="Arial"/>
          <w:b w:val="0"/>
          <w:color w:val="000000"/>
          <w:sz w:val="22"/>
        </w:rPr>
        <w:t>: LEF Ed’s diagnostic engine is protected by two patent applications (U.S. App. No. 63/993,278 · 63/993,317). Where no equivalent system exists, districts may sole-source the initial contract, bypassing the RFP requirement entirely. This is the intended entry path for both the Coral Academy pilot and CCSD initial engagement.</w:t>
      </w:r>
    </w:p>
    <w:p>
      <w:pPr>
        <w:spacing w:after="120"/>
      </w:pPr>
      <w:r>
        <w:rPr>
          <w:rFonts w:ascii="Arial" w:hAnsi="Arial"/>
          <w:color w:val="000000"/>
          <w:sz w:val="22"/>
        </w:rPr>
        <w:t>Recommended contract structure:</w:t>
      </w:r>
    </w:p>
    <w:p>
      <w:pPr>
        <w:spacing w:after="60"/>
        <w:ind w:left="360"/>
      </w:pPr>
      <w:r>
        <w:rPr>
          <w:rFonts w:ascii="Arial" w:hAnsi="Arial"/>
          <w:color w:val="000000"/>
          <w:sz w:val="22"/>
        </w:rPr>
        <w:t xml:space="preserve">• </w:t>
      </w:r>
      <w:r>
        <w:rPr>
          <w:rFonts w:ascii="Arial" w:hAnsi="Arial"/>
          <w:b/>
          <w:color w:val="000000"/>
          <w:sz w:val="22"/>
        </w:rPr>
        <w:t xml:space="preserve">Year 1: </w:t>
      </w:r>
      <w:r>
        <w:rPr>
          <w:rFonts w:ascii="Arial" w:hAnsi="Arial"/>
          <w:b w:val="0"/>
          <w:color w:val="000000"/>
          <w:sz w:val="22"/>
        </w:rPr>
        <w:t>Pilot (sole-sourced, fixed fee) → validation of diagnostic outcomes</w:t>
      </w:r>
    </w:p>
    <w:p>
      <w:pPr>
        <w:spacing w:after="60"/>
        <w:ind w:left="360"/>
      </w:pPr>
      <w:r>
        <w:rPr>
          <w:rFonts w:ascii="Arial" w:hAnsi="Arial"/>
          <w:color w:val="000000"/>
          <w:sz w:val="22"/>
        </w:rPr>
        <w:t xml:space="preserve">• </w:t>
      </w:r>
      <w:r>
        <w:rPr>
          <w:rFonts w:ascii="Arial" w:hAnsi="Arial"/>
          <w:b/>
          <w:color w:val="000000"/>
          <w:sz w:val="22"/>
        </w:rPr>
        <w:t xml:space="preserve">Years 2–4: </w:t>
      </w:r>
      <w:r>
        <w:rPr>
          <w:rFonts w:ascii="Arial" w:hAnsi="Arial"/>
          <w:b w:val="0"/>
          <w:color w:val="000000"/>
          <w:sz w:val="22"/>
        </w:rPr>
        <w:t>Base contract ($5.00 PSPY or per-school rate, as applicable)</w:t>
      </w:r>
    </w:p>
    <w:p>
      <w:pPr>
        <w:spacing w:after="60"/>
        <w:ind w:left="360"/>
      </w:pPr>
      <w:r>
        <w:rPr>
          <w:rFonts w:ascii="Arial" w:hAnsi="Arial"/>
          <w:color w:val="000000"/>
          <w:sz w:val="22"/>
        </w:rPr>
        <w:t xml:space="preserve">• </w:t>
      </w:r>
      <w:r>
        <w:rPr>
          <w:rFonts w:ascii="Arial" w:hAnsi="Arial"/>
          <w:b/>
          <w:color w:val="000000"/>
          <w:sz w:val="22"/>
        </w:rPr>
        <w:t xml:space="preserve">Years 5–6: </w:t>
      </w:r>
      <w:r>
        <w:rPr>
          <w:rFonts w:ascii="Arial" w:hAnsi="Arial"/>
          <w:b w:val="0"/>
          <w:color w:val="000000"/>
          <w:sz w:val="22"/>
        </w:rPr>
        <w:t>Renewal options ($3.50 PSPY or loyalty per-school rate, pre-written in original contract)</w:t>
      </w:r>
    </w:p>
    <w:p>
      <w:pPr>
        <w:spacing w:after="60"/>
        <w:ind w:left="360"/>
      </w:pPr>
      <w:r>
        <w:rPr>
          <w:rFonts w:ascii="Arial" w:hAnsi="Arial"/>
          <w:color w:val="000000"/>
          <w:sz w:val="22"/>
        </w:rPr>
        <w:t xml:space="preserve">• </w:t>
      </w:r>
      <w:r>
        <w:rPr>
          <w:rFonts w:ascii="Arial" w:hAnsi="Arial"/>
          <w:b/>
          <w:color w:val="000000"/>
          <w:sz w:val="22"/>
        </w:rPr>
        <w:t xml:space="preserve">Year 7+: </w:t>
      </w:r>
      <w:r>
        <w:rPr>
          <w:rFonts w:ascii="Arial" w:hAnsi="Arial"/>
          <w:b w:val="0"/>
          <w:color w:val="000000"/>
          <w:sz w:val="22"/>
        </w:rPr>
        <w:t>If lapsed → RFP at $5.00 PSPY opening bid. If renewed continuously → renegotiate enterprise rate.</w:t>
      </w:r>
    </w:p>
    <w:p>
      <w:pPr>
        <w:spacing w:before="240" w:after="40"/>
      </w:pPr>
      <w:r>
        <w:rPr>
          <w:rFonts w:ascii="Arial" w:hAnsi="Arial"/>
          <w:b/>
          <w:color w:val="1F3864"/>
          <w:sz w:val="26"/>
        </w:rPr>
        <w:t>2.4  Nevada Charter School Market</w:t>
      </w:r>
    </w:p>
    <w:p>
      <w:pPr>
        <w:spacing w:after="120"/>
      </w:pPr>
      <w:r>
        <w:rPr>
          <w:rFonts w:ascii="Arial" w:hAnsi="Arial"/>
          <w:color w:val="000000"/>
          <w:sz w:val="22"/>
        </w:rPr>
        <w:t>Nevada has approximately 70 active charter schools. At full charter market penetration (achievable over 3–5 years with strong Coral Academy reference data), total Nevada charter ARR potential is approximately $700,000 per year at an average contract of $35,000/school. Charter schools are particularly accessible because: (1) they operate independently from district procurement processes — no RFP required for contracts under their internal thresholds; (2) they have demonstrated willingness to adopt diagnostic tools that public district bureaucracy would slow down; (3) Coral Academy is already a known operator in the Nevada charter landscape. One strong Coral Academy result creates a word-of-mouth pathway to the broader Nevada charter network.</w:t>
      </w:r>
    </w:p>
    <w:p>
      <w:pPr>
        <w:spacing w:before="320" w:after="80"/>
        <w:pBdr>
          <w:bottom w:val="single" w:sz="6" w:space="1" w:color="1F3864"/>
        </w:pBdr>
      </w:pPr>
      <w:r>
        <w:rPr>
          <w:rFonts w:ascii="Arial" w:hAnsi="Arial"/>
          <w:b/>
          <w:color w:val="1F3864"/>
          <w:sz w:val="32"/>
        </w:rPr>
        <w:t>3. Operating Expenses</w:t>
      </w:r>
    </w:p>
    <w:p>
      <w:pPr>
        <w:spacing w:before="240" w:after="40"/>
      </w:pPr>
      <w:r>
        <w:rPr>
          <w:rFonts w:ascii="Arial" w:hAnsi="Arial"/>
          <w:b/>
          <w:color w:val="1F3864"/>
          <w:sz w:val="26"/>
        </w:rPr>
        <w:t>3.1  Pre-Revenue Monthly Burn (~$700–$1,000/month)</w:t>
      </w:r>
    </w:p>
    <w:tbl>
      <w:tblPr>
        <w:tblW w:type="auto" w:w="0"/>
        <w:jc w:val="left"/>
        <w:tblLook w:firstColumn="1" w:firstRow="1" w:lastColumn="0" w:lastRow="0" w:noHBand="0" w:noVBand="1" w:val="04A0"/>
        <w:tblW w:w="5000" w:type="pct"/>
      </w:tblPr>
      <w:tblGrid>
        <w:gridCol w:w="3120"/>
        <w:gridCol w:w="3120"/>
        <w:gridCol w:w="3120"/>
      </w:tblGrid>
      <w:tr>
        <w:tc>
          <w:tcPr>
            <w:tcW w:type="dxa" w:w="3456"/>
            <w:shd w:val="clear" w:color="auto" w:fill="1F3864"/>
            <w:vAlign w:val="center"/>
          </w:tcPr>
          <w:p>
            <w:pPr>
              <w:jc w:val="left"/>
            </w:pPr>
            <w:r>
              <w:rPr>
                <w:rFonts w:ascii="Arial" w:hAnsi="Arial"/>
                <w:b/>
                <w:color w:val="FFFFFF"/>
                <w:sz w:val="20"/>
              </w:rPr>
              <w:t>Expense</w:t>
            </w:r>
          </w:p>
        </w:tc>
        <w:tc>
          <w:tcPr>
            <w:tcW w:type="dxa" w:w="2016"/>
            <w:shd w:val="clear" w:color="auto" w:fill="1F3864"/>
            <w:vAlign w:val="center"/>
          </w:tcPr>
          <w:p>
            <w:pPr>
              <w:jc w:val="left"/>
            </w:pPr>
            <w:r>
              <w:rPr>
                <w:rFonts w:ascii="Arial" w:hAnsi="Arial"/>
                <w:b/>
                <w:color w:val="FFFFFF"/>
                <w:sz w:val="20"/>
              </w:rPr>
              <w:t>Monthly Cost</w:t>
            </w:r>
          </w:p>
        </w:tc>
        <w:tc>
          <w:tcPr>
            <w:tcW w:type="dxa" w:w="5328"/>
            <w:shd w:val="clear" w:color="auto" w:fill="1F3864"/>
            <w:vAlign w:val="center"/>
          </w:tcPr>
          <w:p>
            <w:pPr>
              <w:jc w:val="left"/>
            </w:pPr>
            <w:r>
              <w:rPr>
                <w:rFonts w:ascii="Arial" w:hAnsi="Arial"/>
                <w:b/>
                <w:color w:val="FFFFFF"/>
                <w:sz w:val="20"/>
              </w:rPr>
              <w:t>Notes</w:t>
            </w:r>
          </w:p>
        </w:tc>
      </w:tr>
      <w:tr>
        <w:tc>
          <w:tcPr>
            <w:tcW w:type="dxa" w:w="3456"/>
            <w:shd w:val="clear" w:color="auto" w:fill="FFFFFF"/>
            <w:vAlign w:val="center"/>
          </w:tcPr>
          <w:p>
            <w:pPr>
              <w:jc w:val="left"/>
            </w:pPr>
            <w:r>
              <w:rPr>
                <w:rFonts w:ascii="Arial" w:hAnsi="Arial"/>
                <w:color w:val="000000"/>
                <w:sz w:val="20"/>
              </w:rPr>
              <w:t>Claude API (Anthropic)</w:t>
            </w:r>
          </w:p>
        </w:tc>
        <w:tc>
          <w:tcPr>
            <w:tcW w:type="dxa" w:w="2016"/>
            <w:shd w:val="clear" w:color="auto" w:fill="FFFFFF"/>
            <w:vAlign w:val="center"/>
          </w:tcPr>
          <w:p>
            <w:pPr>
              <w:jc w:val="left"/>
            </w:pPr>
            <w:r>
              <w:rPr>
                <w:rFonts w:ascii="Arial" w:hAnsi="Arial"/>
                <w:color w:val="000000"/>
                <w:sz w:val="20"/>
              </w:rPr>
              <w:t>$150–$300</w:t>
            </w:r>
          </w:p>
        </w:tc>
        <w:tc>
          <w:tcPr>
            <w:tcW w:type="dxa" w:w="5328"/>
            <w:shd w:val="clear" w:color="auto" w:fill="FFFFFF"/>
            <w:vAlign w:val="center"/>
          </w:tcPr>
          <w:p>
            <w:pPr>
              <w:jc w:val="left"/>
            </w:pPr>
            <w:r>
              <w:rPr>
                <w:rFonts w:ascii="Arial" w:hAnsi="Arial"/>
                <w:color w:val="000000"/>
                <w:sz w:val="20"/>
              </w:rPr>
              <w:t>Study packets, parent notes, IEP drafts. Diagnostic engine is deterministic — no AI cost.</w:t>
            </w:r>
          </w:p>
        </w:tc>
      </w:tr>
      <w:tr>
        <w:tc>
          <w:tcPr>
            <w:tcW w:type="dxa" w:w="3456"/>
            <w:shd w:val="clear" w:color="auto" w:fill="F2F2F2"/>
            <w:vAlign w:val="center"/>
          </w:tcPr>
          <w:p>
            <w:pPr>
              <w:jc w:val="left"/>
            </w:pPr>
            <w:r>
              <w:rPr>
                <w:rFonts w:ascii="Arial" w:hAnsi="Arial"/>
                <w:color w:val="000000"/>
                <w:sz w:val="20"/>
              </w:rPr>
              <w:t>Infrastructure / hosting (Vercel + DB)</w:t>
            </w:r>
          </w:p>
        </w:tc>
        <w:tc>
          <w:tcPr>
            <w:tcW w:type="dxa" w:w="2016"/>
            <w:shd w:val="clear" w:color="auto" w:fill="F2F2F2"/>
            <w:vAlign w:val="center"/>
          </w:tcPr>
          <w:p>
            <w:pPr>
              <w:jc w:val="left"/>
            </w:pPr>
            <w:r>
              <w:rPr>
                <w:rFonts w:ascii="Arial" w:hAnsi="Arial"/>
                <w:color w:val="000000"/>
                <w:sz w:val="20"/>
              </w:rPr>
              <w:t>$50–$100</w:t>
            </w:r>
          </w:p>
        </w:tc>
        <w:tc>
          <w:tcPr>
            <w:tcW w:type="dxa" w:w="5328"/>
            <w:shd w:val="clear" w:color="auto" w:fill="F2F2F2"/>
            <w:vAlign w:val="center"/>
          </w:tcPr>
          <w:p>
            <w:pPr>
              <w:jc w:val="left"/>
            </w:pPr>
            <w:r>
              <w:rPr>
                <w:rFonts w:ascii="Arial" w:hAnsi="Arial"/>
                <w:color w:val="000000"/>
                <w:sz w:val="20"/>
              </w:rPr>
              <w:t>Scales with active users</w:t>
            </w:r>
          </w:p>
        </w:tc>
      </w:tr>
      <w:tr>
        <w:tc>
          <w:tcPr>
            <w:tcW w:type="dxa" w:w="3456"/>
            <w:shd w:val="clear" w:color="auto" w:fill="FFFFFF"/>
            <w:vAlign w:val="center"/>
          </w:tcPr>
          <w:p>
            <w:pPr>
              <w:jc w:val="left"/>
            </w:pPr>
            <w:r>
              <w:rPr>
                <w:rFonts w:ascii="Arial" w:hAnsi="Arial"/>
                <w:color w:val="000000"/>
                <w:sz w:val="20"/>
              </w:rPr>
              <w:t>Patent maintenance (provisional filings)</w:t>
            </w:r>
          </w:p>
        </w:tc>
        <w:tc>
          <w:tcPr>
            <w:tcW w:type="dxa" w:w="2016"/>
            <w:shd w:val="clear" w:color="auto" w:fill="FFFFFF"/>
            <w:vAlign w:val="center"/>
          </w:tcPr>
          <w:p>
            <w:pPr>
              <w:jc w:val="left"/>
            </w:pPr>
            <w:r>
              <w:rPr>
                <w:rFonts w:ascii="Arial" w:hAnsi="Arial"/>
                <w:color w:val="000000"/>
                <w:sz w:val="20"/>
              </w:rPr>
              <w:t>$200–$300</w:t>
            </w:r>
          </w:p>
        </w:tc>
        <w:tc>
          <w:tcPr>
            <w:tcW w:type="dxa" w:w="5328"/>
            <w:shd w:val="clear" w:color="auto" w:fill="FFFFFF"/>
            <w:vAlign w:val="center"/>
          </w:tcPr>
          <w:p>
            <w:pPr>
              <w:jc w:val="left"/>
            </w:pPr>
            <w:r>
              <w:rPr>
                <w:rFonts w:ascii="Arial" w:hAnsi="Arial"/>
                <w:color w:val="000000"/>
                <w:sz w:val="20"/>
              </w:rPr>
              <w:t>Amortized monthly; two applications active</w:t>
            </w:r>
          </w:p>
        </w:tc>
      </w:tr>
      <w:tr>
        <w:tc>
          <w:tcPr>
            <w:tcW w:type="dxa" w:w="3456"/>
            <w:shd w:val="clear" w:color="auto" w:fill="F2F2F2"/>
            <w:vAlign w:val="center"/>
          </w:tcPr>
          <w:p>
            <w:pPr>
              <w:jc w:val="left"/>
            </w:pPr>
            <w:r>
              <w:rPr>
                <w:rFonts w:ascii="Arial" w:hAnsi="Arial"/>
                <w:color w:val="000000"/>
                <w:sz w:val="20"/>
              </w:rPr>
              <w:t>Legal (entity, contracts, early review)</w:t>
            </w:r>
          </w:p>
        </w:tc>
        <w:tc>
          <w:tcPr>
            <w:tcW w:type="dxa" w:w="2016"/>
            <w:shd w:val="clear" w:color="auto" w:fill="F2F2F2"/>
            <w:vAlign w:val="center"/>
          </w:tcPr>
          <w:p>
            <w:pPr>
              <w:jc w:val="left"/>
            </w:pPr>
            <w:r>
              <w:rPr>
                <w:rFonts w:ascii="Arial" w:hAnsi="Arial"/>
                <w:color w:val="000000"/>
                <w:sz w:val="20"/>
              </w:rPr>
              <w:t>$150–$250</w:t>
            </w:r>
          </w:p>
        </w:tc>
        <w:tc>
          <w:tcPr>
            <w:tcW w:type="dxa" w:w="5328"/>
            <w:shd w:val="clear" w:color="auto" w:fill="F2F2F2"/>
            <w:vAlign w:val="center"/>
          </w:tcPr>
          <w:p>
            <w:pPr>
              <w:jc w:val="left"/>
            </w:pPr>
            <w:r>
              <w:rPr>
                <w:rFonts w:ascii="Arial" w:hAnsi="Arial"/>
                <w:color w:val="000000"/>
                <w:sz w:val="20"/>
              </w:rPr>
              <w:t>Spot counsel; not ongoing retainer</w:t>
            </w:r>
          </w:p>
        </w:tc>
      </w:tr>
      <w:tr>
        <w:tc>
          <w:tcPr>
            <w:tcW w:type="dxa" w:w="3456"/>
            <w:shd w:val="clear" w:color="auto" w:fill="FFFFFF"/>
            <w:vAlign w:val="center"/>
          </w:tcPr>
          <w:p>
            <w:pPr>
              <w:jc w:val="left"/>
            </w:pPr>
            <w:r>
              <w:rPr>
                <w:rFonts w:ascii="Arial" w:hAnsi="Arial"/>
                <w:color w:val="000000"/>
                <w:sz w:val="20"/>
              </w:rPr>
              <w:t>Domain / tools / misc</w:t>
            </w:r>
          </w:p>
        </w:tc>
        <w:tc>
          <w:tcPr>
            <w:tcW w:type="dxa" w:w="2016"/>
            <w:shd w:val="clear" w:color="auto" w:fill="FFFFFF"/>
            <w:vAlign w:val="center"/>
          </w:tcPr>
          <w:p>
            <w:pPr>
              <w:jc w:val="left"/>
            </w:pPr>
            <w:r>
              <w:rPr>
                <w:rFonts w:ascii="Arial" w:hAnsi="Arial"/>
                <w:color w:val="000000"/>
                <w:sz w:val="20"/>
              </w:rPr>
              <w:t>$50–$100</w:t>
            </w:r>
          </w:p>
        </w:tc>
        <w:tc>
          <w:tcPr>
            <w:tcW w:type="dxa" w:w="5328"/>
            <w:shd w:val="clear" w:color="auto" w:fill="FFFFFF"/>
            <w:vAlign w:val="center"/>
          </w:tcPr>
          <w:p>
            <w:pPr>
              <w:jc w:val="left"/>
            </w:pPr>
            <w:r>
              <w:rPr>
                <w:rFonts w:ascii="Arial" w:hAnsi="Arial"/>
                <w:color w:val="000000"/>
                <w:sz w:val="20"/>
              </w:rPr>
              <w:t>Communication, dev tools</w:t>
            </w:r>
          </w:p>
        </w:tc>
      </w:tr>
      <w:tr>
        <w:tc>
          <w:tcPr>
            <w:tcW w:type="dxa" w:w="3456"/>
            <w:shd w:val="clear" w:color="auto" w:fill="F2F2F2"/>
            <w:vAlign w:val="center"/>
          </w:tcPr>
          <w:p>
            <w:pPr>
              <w:jc w:val="left"/>
            </w:pPr>
            <w:r>
              <w:rPr>
                <w:rFonts w:ascii="Arial" w:hAnsi="Arial"/>
                <w:b/>
                <w:color w:val="000000"/>
                <w:sz w:val="20"/>
              </w:rPr>
              <w:t>Total</w:t>
            </w:r>
          </w:p>
        </w:tc>
        <w:tc>
          <w:tcPr>
            <w:tcW w:type="dxa" w:w="2016"/>
            <w:shd w:val="clear" w:color="auto" w:fill="F2F2F2"/>
            <w:vAlign w:val="center"/>
          </w:tcPr>
          <w:p>
            <w:pPr>
              <w:jc w:val="left"/>
            </w:pPr>
            <w:r>
              <w:rPr>
                <w:rFonts w:ascii="Arial" w:hAnsi="Arial"/>
                <w:b/>
                <w:color w:val="000000"/>
                <w:sz w:val="20"/>
              </w:rPr>
              <w:t>$600–$1,050/month</w:t>
            </w:r>
          </w:p>
        </w:tc>
        <w:tc>
          <w:tcPr>
            <w:tcW w:type="dxa" w:w="5328"/>
            <w:shd w:val="clear" w:color="auto" w:fill="F2F2F2"/>
            <w:vAlign w:val="center"/>
          </w:tcPr>
          <w:p>
            <w:pPr>
              <w:jc w:val="left"/>
            </w:pPr>
            <w:r>
              <w:rPr>
                <w:rFonts w:ascii="Arial" w:hAnsi="Arial"/>
                <w:b/>
                <w:color w:val="000000"/>
                <w:sz w:val="20"/>
              </w:rPr>
              <w:t>Founder-funded pre-revenue</w:t>
            </w:r>
          </w:p>
        </w:tc>
      </w:tr>
    </w:tbl>
    <w:p>
      <w:pPr>
        <w:spacing w:before="240" w:after="40"/>
      </w:pPr>
      <w:r>
        <w:rPr>
          <w:rFonts w:ascii="Arial" w:hAnsi="Arial"/>
          <w:b/>
          <w:color w:val="1F3864"/>
          <w:sz w:val="26"/>
        </w:rPr>
        <w:t>3.2  At Scale (Post-CCSD Enterprise, ~$1.5M ARR)</w:t>
      </w:r>
    </w:p>
    <w:tbl>
      <w:tblPr>
        <w:tblW w:type="auto" w:w="0"/>
        <w:jc w:val="left"/>
        <w:tblLook w:firstColumn="1" w:firstRow="1" w:lastColumn="0" w:lastRow="0" w:noHBand="0" w:noVBand="1" w:val="04A0"/>
        <w:tblW w:w="5000" w:type="pct"/>
      </w:tblPr>
      <w:tblGrid>
        <w:gridCol w:w="3120"/>
        <w:gridCol w:w="3120"/>
        <w:gridCol w:w="3120"/>
      </w:tblGrid>
      <w:tr>
        <w:tc>
          <w:tcPr>
            <w:tcW w:type="dxa" w:w="3456"/>
            <w:shd w:val="clear" w:color="auto" w:fill="1F3864"/>
            <w:vAlign w:val="center"/>
          </w:tcPr>
          <w:p>
            <w:pPr>
              <w:jc w:val="left"/>
            </w:pPr>
            <w:r>
              <w:rPr>
                <w:rFonts w:ascii="Arial" w:hAnsi="Arial"/>
                <w:b/>
                <w:color w:val="FFFFFF"/>
                <w:sz w:val="20"/>
              </w:rPr>
              <w:t>Expense</w:t>
            </w:r>
          </w:p>
        </w:tc>
        <w:tc>
          <w:tcPr>
            <w:tcW w:type="dxa" w:w="2016"/>
            <w:shd w:val="clear" w:color="auto" w:fill="1F3864"/>
            <w:vAlign w:val="center"/>
          </w:tcPr>
          <w:p>
            <w:pPr>
              <w:jc w:val="left"/>
            </w:pPr>
            <w:r>
              <w:rPr>
                <w:rFonts w:ascii="Arial" w:hAnsi="Arial"/>
                <w:b/>
                <w:color w:val="FFFFFF"/>
                <w:sz w:val="20"/>
              </w:rPr>
              <w:t>Monthly Cost</w:t>
            </w:r>
          </w:p>
        </w:tc>
        <w:tc>
          <w:tcPr>
            <w:tcW w:type="dxa" w:w="5328"/>
            <w:shd w:val="clear" w:color="auto" w:fill="1F3864"/>
            <w:vAlign w:val="center"/>
          </w:tcPr>
          <w:p>
            <w:pPr>
              <w:jc w:val="left"/>
            </w:pPr>
            <w:r>
              <w:rPr>
                <w:rFonts w:ascii="Arial" w:hAnsi="Arial"/>
                <w:b/>
                <w:color w:val="FFFFFF"/>
                <w:sz w:val="20"/>
              </w:rPr>
              <w:t>Notes</w:t>
            </w:r>
          </w:p>
        </w:tc>
      </w:tr>
      <w:tr>
        <w:tc>
          <w:tcPr>
            <w:tcW w:type="dxa" w:w="3456"/>
            <w:shd w:val="clear" w:color="auto" w:fill="FFFFFF"/>
            <w:vAlign w:val="center"/>
          </w:tcPr>
          <w:p>
            <w:pPr>
              <w:jc w:val="left"/>
            </w:pPr>
            <w:r>
              <w:rPr>
                <w:rFonts w:ascii="Arial" w:hAnsi="Arial"/>
                <w:color w:val="000000"/>
                <w:sz w:val="20"/>
              </w:rPr>
              <w:t>Claude API</w:t>
            </w:r>
          </w:p>
        </w:tc>
        <w:tc>
          <w:tcPr>
            <w:tcW w:type="dxa" w:w="2016"/>
            <w:shd w:val="clear" w:color="auto" w:fill="FFFFFF"/>
            <w:vAlign w:val="center"/>
          </w:tcPr>
          <w:p>
            <w:pPr>
              <w:jc w:val="left"/>
            </w:pPr>
            <w:r>
              <w:rPr>
                <w:rFonts w:ascii="Arial" w:hAnsi="Arial"/>
                <w:color w:val="000000"/>
                <w:sz w:val="20"/>
              </w:rPr>
              <w:t>$2,000–$5,000</w:t>
            </w:r>
          </w:p>
        </w:tc>
        <w:tc>
          <w:tcPr>
            <w:tcW w:type="dxa" w:w="5328"/>
            <w:shd w:val="clear" w:color="auto" w:fill="FFFFFF"/>
            <w:vAlign w:val="center"/>
          </w:tcPr>
          <w:p>
            <w:pPr>
              <w:jc w:val="left"/>
            </w:pPr>
            <w:r>
              <w:rPr>
                <w:rFonts w:ascii="Arial" w:hAnsi="Arial"/>
                <w:color w:val="000000"/>
                <w:sz w:val="20"/>
              </w:rPr>
              <w:t>Scales linearly with student count and packet generation frequency</w:t>
            </w:r>
          </w:p>
        </w:tc>
      </w:tr>
      <w:tr>
        <w:tc>
          <w:tcPr>
            <w:tcW w:type="dxa" w:w="3456"/>
            <w:shd w:val="clear" w:color="auto" w:fill="F2F2F2"/>
            <w:vAlign w:val="center"/>
          </w:tcPr>
          <w:p>
            <w:pPr>
              <w:jc w:val="left"/>
            </w:pPr>
            <w:r>
              <w:rPr>
                <w:rFonts w:ascii="Arial" w:hAnsi="Arial"/>
                <w:color w:val="000000"/>
                <w:sz w:val="20"/>
              </w:rPr>
              <w:t>Infrastructure</w:t>
            </w:r>
          </w:p>
        </w:tc>
        <w:tc>
          <w:tcPr>
            <w:tcW w:type="dxa" w:w="2016"/>
            <w:shd w:val="clear" w:color="auto" w:fill="F2F2F2"/>
            <w:vAlign w:val="center"/>
          </w:tcPr>
          <w:p>
            <w:pPr>
              <w:jc w:val="left"/>
            </w:pPr>
            <w:r>
              <w:rPr>
                <w:rFonts w:ascii="Arial" w:hAnsi="Arial"/>
                <w:color w:val="000000"/>
                <w:sz w:val="20"/>
              </w:rPr>
              <w:t>$500–$1,500</w:t>
            </w:r>
          </w:p>
        </w:tc>
        <w:tc>
          <w:tcPr>
            <w:tcW w:type="dxa" w:w="5328"/>
            <w:shd w:val="clear" w:color="auto" w:fill="F2F2F2"/>
            <w:vAlign w:val="center"/>
          </w:tcPr>
          <w:p>
            <w:pPr>
              <w:jc w:val="left"/>
            </w:pPr>
            <w:r>
              <w:rPr>
                <w:rFonts w:ascii="Arial" w:hAnsi="Arial"/>
                <w:color w:val="000000"/>
                <w:sz w:val="20"/>
              </w:rPr>
              <w:t>Multi-tenant, redundant hosting</w:t>
            </w:r>
          </w:p>
        </w:tc>
      </w:tr>
      <w:tr>
        <w:tc>
          <w:tcPr>
            <w:tcW w:type="dxa" w:w="3456"/>
            <w:shd w:val="clear" w:color="auto" w:fill="FFFFFF"/>
            <w:vAlign w:val="center"/>
          </w:tcPr>
          <w:p>
            <w:pPr>
              <w:jc w:val="left"/>
            </w:pPr>
            <w:r>
              <w:rPr>
                <w:rFonts w:ascii="Arial" w:hAnsi="Arial"/>
                <w:color w:val="000000"/>
                <w:sz w:val="20"/>
              </w:rPr>
              <w:t>Legal / compliance (FERPA, IDEA, contracts)</w:t>
            </w:r>
          </w:p>
        </w:tc>
        <w:tc>
          <w:tcPr>
            <w:tcW w:type="dxa" w:w="2016"/>
            <w:shd w:val="clear" w:color="auto" w:fill="FFFFFF"/>
            <w:vAlign w:val="center"/>
          </w:tcPr>
          <w:p>
            <w:pPr>
              <w:jc w:val="left"/>
            </w:pPr>
            <w:r>
              <w:rPr>
                <w:rFonts w:ascii="Arial" w:hAnsi="Arial"/>
                <w:color w:val="000000"/>
                <w:sz w:val="20"/>
              </w:rPr>
              <w:t>$1,000–$2,500</w:t>
            </w:r>
          </w:p>
        </w:tc>
        <w:tc>
          <w:tcPr>
            <w:tcW w:type="dxa" w:w="5328"/>
            <w:shd w:val="clear" w:color="auto" w:fill="FFFFFF"/>
            <w:vAlign w:val="center"/>
          </w:tcPr>
          <w:p>
            <w:pPr>
              <w:jc w:val="left"/>
            </w:pPr>
            <w:r>
              <w:rPr>
                <w:rFonts w:ascii="Arial" w:hAnsi="Arial"/>
                <w:color w:val="000000"/>
                <w:sz w:val="20"/>
              </w:rPr>
              <w:t>Ongoing counsel at district scale</w:t>
            </w:r>
          </w:p>
        </w:tc>
      </w:tr>
      <w:tr>
        <w:tc>
          <w:tcPr>
            <w:tcW w:type="dxa" w:w="3456"/>
            <w:shd w:val="clear" w:color="auto" w:fill="F2F2F2"/>
            <w:vAlign w:val="center"/>
          </w:tcPr>
          <w:p>
            <w:pPr>
              <w:jc w:val="left"/>
            </w:pPr>
            <w:r>
              <w:rPr>
                <w:rFonts w:ascii="Arial" w:hAnsi="Arial"/>
                <w:color w:val="000000"/>
                <w:sz w:val="20"/>
              </w:rPr>
              <w:t>Sales &amp; outreach</w:t>
            </w:r>
          </w:p>
        </w:tc>
        <w:tc>
          <w:tcPr>
            <w:tcW w:type="dxa" w:w="2016"/>
            <w:shd w:val="clear" w:color="auto" w:fill="F2F2F2"/>
            <w:vAlign w:val="center"/>
          </w:tcPr>
          <w:p>
            <w:pPr>
              <w:jc w:val="left"/>
            </w:pPr>
            <w:r>
              <w:rPr>
                <w:rFonts w:ascii="Arial" w:hAnsi="Arial"/>
                <w:color w:val="000000"/>
                <w:sz w:val="20"/>
              </w:rPr>
              <w:t>$1,500–$3,000</w:t>
            </w:r>
          </w:p>
        </w:tc>
        <w:tc>
          <w:tcPr>
            <w:tcW w:type="dxa" w:w="5328"/>
            <w:shd w:val="clear" w:color="auto" w:fill="F2F2F2"/>
            <w:vAlign w:val="center"/>
          </w:tcPr>
          <w:p>
            <w:pPr>
              <w:jc w:val="left"/>
            </w:pPr>
            <w:r>
              <w:rPr>
                <w:rFonts w:ascii="Arial" w:hAnsi="Arial"/>
                <w:color w:val="000000"/>
                <w:sz w:val="20"/>
              </w:rPr>
              <w:t>Travel, conferences, proposal costs</w:t>
            </w:r>
          </w:p>
        </w:tc>
      </w:tr>
      <w:tr>
        <w:tc>
          <w:tcPr>
            <w:tcW w:type="dxa" w:w="3456"/>
            <w:shd w:val="clear" w:color="auto" w:fill="FFFFFF"/>
            <w:vAlign w:val="center"/>
          </w:tcPr>
          <w:p>
            <w:pPr>
              <w:jc w:val="left"/>
            </w:pPr>
            <w:r>
              <w:rPr>
                <w:rFonts w:ascii="Arial" w:hAnsi="Arial"/>
                <w:color w:val="000000"/>
                <w:sz w:val="20"/>
              </w:rPr>
              <w:t>Patent prosecution / continuation filings</w:t>
            </w:r>
          </w:p>
        </w:tc>
        <w:tc>
          <w:tcPr>
            <w:tcW w:type="dxa" w:w="2016"/>
            <w:shd w:val="clear" w:color="auto" w:fill="FFFFFF"/>
            <w:vAlign w:val="center"/>
          </w:tcPr>
          <w:p>
            <w:pPr>
              <w:jc w:val="left"/>
            </w:pPr>
            <w:r>
              <w:rPr>
                <w:rFonts w:ascii="Arial" w:hAnsi="Arial"/>
                <w:color w:val="000000"/>
                <w:sz w:val="20"/>
              </w:rPr>
              <w:t>$500–$1,000</w:t>
            </w:r>
          </w:p>
        </w:tc>
        <w:tc>
          <w:tcPr>
            <w:tcW w:type="dxa" w:w="5328"/>
            <w:shd w:val="clear" w:color="auto" w:fill="FFFFFF"/>
            <w:vAlign w:val="center"/>
          </w:tcPr>
          <w:p>
            <w:pPr>
              <w:jc w:val="left"/>
            </w:pPr>
            <w:r>
              <w:rPr>
                <w:rFonts w:ascii="Arial" w:hAnsi="Arial"/>
                <w:color w:val="000000"/>
                <w:sz w:val="20"/>
              </w:rPr>
              <w:t>Ongoing IP strategy</w:t>
            </w:r>
          </w:p>
        </w:tc>
      </w:tr>
      <w:tr>
        <w:tc>
          <w:tcPr>
            <w:tcW w:type="dxa" w:w="3456"/>
            <w:shd w:val="clear" w:color="auto" w:fill="F2F2F2"/>
            <w:vAlign w:val="center"/>
          </w:tcPr>
          <w:p>
            <w:pPr>
              <w:jc w:val="left"/>
            </w:pPr>
            <w:r>
              <w:rPr>
                <w:rFonts w:ascii="Arial" w:hAnsi="Arial"/>
                <w:color w:val="000000"/>
                <w:sz w:val="20"/>
              </w:rPr>
              <w:t>Operations / admin</w:t>
            </w:r>
          </w:p>
        </w:tc>
        <w:tc>
          <w:tcPr>
            <w:tcW w:type="dxa" w:w="2016"/>
            <w:shd w:val="clear" w:color="auto" w:fill="F2F2F2"/>
            <w:vAlign w:val="center"/>
          </w:tcPr>
          <w:p>
            <w:pPr>
              <w:jc w:val="left"/>
            </w:pPr>
            <w:r>
              <w:rPr>
                <w:rFonts w:ascii="Arial" w:hAnsi="Arial"/>
                <w:color w:val="000000"/>
                <w:sz w:val="20"/>
              </w:rPr>
              <w:t>$500–$1,000</w:t>
            </w:r>
          </w:p>
        </w:tc>
        <w:tc>
          <w:tcPr>
            <w:tcW w:type="dxa" w:w="5328"/>
            <w:shd w:val="clear" w:color="auto" w:fill="F2F2F2"/>
            <w:vAlign w:val="center"/>
          </w:tcPr>
          <w:p>
            <w:pPr>
              <w:jc w:val="left"/>
            </w:pPr>
            <w:r>
              <w:rPr>
                <w:rFonts w:ascii="Arial" w:hAnsi="Arial"/>
                <w:color w:val="000000"/>
                <w:sz w:val="20"/>
              </w:rPr>
              <w:t>Tools, accounting, filing</w:t>
            </w:r>
          </w:p>
        </w:tc>
      </w:tr>
      <w:tr>
        <w:tc>
          <w:tcPr>
            <w:tcW w:type="dxa" w:w="3456"/>
            <w:shd w:val="clear" w:color="auto" w:fill="FFFFFF"/>
            <w:vAlign w:val="center"/>
          </w:tcPr>
          <w:p>
            <w:pPr>
              <w:jc w:val="left"/>
            </w:pPr>
            <w:r>
              <w:rPr>
                <w:rFonts w:ascii="Arial" w:hAnsi="Arial"/>
                <w:b/>
                <w:color w:val="000000"/>
                <w:sz w:val="20"/>
              </w:rPr>
              <w:t>Total</w:t>
            </w:r>
          </w:p>
        </w:tc>
        <w:tc>
          <w:tcPr>
            <w:tcW w:type="dxa" w:w="2016"/>
            <w:shd w:val="clear" w:color="auto" w:fill="FFFFFF"/>
            <w:vAlign w:val="center"/>
          </w:tcPr>
          <w:p>
            <w:pPr>
              <w:jc w:val="left"/>
            </w:pPr>
            <w:r>
              <w:rPr>
                <w:rFonts w:ascii="Arial" w:hAnsi="Arial"/>
                <w:b/>
                <w:color w:val="000000"/>
                <w:sz w:val="20"/>
              </w:rPr>
              <w:t>$6,000–$14,000/month</w:t>
            </w:r>
          </w:p>
        </w:tc>
        <w:tc>
          <w:tcPr>
            <w:tcW w:type="dxa" w:w="5328"/>
            <w:shd w:val="clear" w:color="auto" w:fill="FFFFFF"/>
            <w:vAlign w:val="center"/>
          </w:tcPr>
          <w:p>
            <w:pPr>
              <w:jc w:val="left"/>
            </w:pPr>
            <w:r>
              <w:rPr>
                <w:rFonts w:ascii="Arial" w:hAnsi="Arial"/>
                <w:b/>
                <w:color w:val="000000"/>
                <w:sz w:val="20"/>
              </w:rPr>
              <w:t>~10–11% of ARR — high-margin business</w:t>
            </w:r>
          </w:p>
        </w:tc>
      </w:tr>
    </w:tbl>
    <w:p>
      <w:pPr>
        <w:spacing w:after="120"/>
      </w:pPr>
      <w:r>
        <w:rPr>
          <w:rFonts w:ascii="Arial" w:hAnsi="Arial"/>
          <w:i/>
          <w:color w:val="666666"/>
          <w:sz w:val="20"/>
        </w:rPr>
        <w:t>Gross margin at $1.5M ARR: approximately 86–90%. The diagnostic engine itself incurs zero AI cost — only packet generation and IEP module consume tokens. As district contracts scale, the per-student AI cost becomes negligible.</w:t>
      </w:r>
    </w:p>
    <w:p>
      <w:pPr>
        <w:spacing w:before="240" w:after="40"/>
      </w:pPr>
      <w:r>
        <w:rPr>
          <w:rFonts w:ascii="Arial" w:hAnsi="Arial"/>
          <w:b/>
          <w:color w:val="1F3864"/>
          <w:sz w:val="26"/>
        </w:rPr>
        <w:t>3.3  Future Expenses (Phase 2+ — Not Yet Incurred)</w:t>
      </w:r>
    </w:p>
    <w:tbl>
      <w:tblPr>
        <w:tblW w:type="auto" w:w="0"/>
        <w:jc w:val="left"/>
        <w:tblLook w:firstColumn="1" w:firstRow="1" w:lastColumn="0" w:lastRow="0" w:noHBand="0" w:noVBand="1" w:val="04A0"/>
        <w:tblW w:w="5000" w:type="pct"/>
      </w:tblPr>
      <w:tblGrid>
        <w:gridCol w:w="2340"/>
        <w:gridCol w:w="2340"/>
        <w:gridCol w:w="2340"/>
        <w:gridCol w:w="2340"/>
      </w:tblGrid>
      <w:tr>
        <w:tc>
          <w:tcPr>
            <w:tcW w:type="dxa" w:w="2880"/>
            <w:shd w:val="clear" w:color="auto" w:fill="1F3864"/>
            <w:vAlign w:val="center"/>
          </w:tcPr>
          <w:p>
            <w:pPr>
              <w:jc w:val="left"/>
            </w:pPr>
            <w:r>
              <w:rPr>
                <w:rFonts w:ascii="Arial" w:hAnsi="Arial"/>
                <w:b/>
                <w:color w:val="FFFFFF"/>
                <w:sz w:val="20"/>
              </w:rPr>
              <w:t>Expense</w:t>
            </w:r>
          </w:p>
        </w:tc>
        <w:tc>
          <w:tcPr>
            <w:tcW w:type="dxa" w:w="2016"/>
            <w:shd w:val="clear" w:color="auto" w:fill="1F3864"/>
            <w:vAlign w:val="center"/>
          </w:tcPr>
          <w:p>
            <w:pPr>
              <w:jc w:val="left"/>
            </w:pPr>
            <w:r>
              <w:rPr>
                <w:rFonts w:ascii="Arial" w:hAnsi="Arial"/>
                <w:b/>
                <w:color w:val="FFFFFF"/>
                <w:sz w:val="20"/>
              </w:rPr>
              <w:t>Est. Timing</w:t>
            </w:r>
          </w:p>
        </w:tc>
        <w:tc>
          <w:tcPr>
            <w:tcW w:type="dxa" w:w="1872"/>
            <w:shd w:val="clear" w:color="auto" w:fill="1F3864"/>
            <w:vAlign w:val="center"/>
          </w:tcPr>
          <w:p>
            <w:pPr>
              <w:jc w:val="left"/>
            </w:pPr>
            <w:r>
              <w:rPr>
                <w:rFonts w:ascii="Arial" w:hAnsi="Arial"/>
                <w:b/>
                <w:color w:val="FFFFFF"/>
                <w:sz w:val="20"/>
              </w:rPr>
              <w:t>Est. Cost</w:t>
            </w:r>
          </w:p>
        </w:tc>
        <w:tc>
          <w:tcPr>
            <w:tcW w:type="dxa" w:w="4032"/>
            <w:shd w:val="clear" w:color="auto" w:fill="1F3864"/>
            <w:vAlign w:val="center"/>
          </w:tcPr>
          <w:p>
            <w:pPr>
              <w:jc w:val="left"/>
            </w:pPr>
            <w:r>
              <w:rPr>
                <w:rFonts w:ascii="Arial" w:hAnsi="Arial"/>
                <w:b/>
                <w:color w:val="FFFFFF"/>
                <w:sz w:val="20"/>
              </w:rPr>
              <w:t>Trigger</w:t>
            </w:r>
          </w:p>
        </w:tc>
      </w:tr>
      <w:tr>
        <w:tc>
          <w:tcPr>
            <w:tcW w:type="dxa" w:w="2880"/>
            <w:shd w:val="clear" w:color="auto" w:fill="FFFFFF"/>
            <w:vAlign w:val="center"/>
          </w:tcPr>
          <w:p>
            <w:pPr>
              <w:jc w:val="left"/>
            </w:pPr>
            <w:r>
              <w:rPr>
                <w:rFonts w:ascii="Arial" w:hAnsi="Arial"/>
                <w:color w:val="000000"/>
                <w:sz w:val="20"/>
              </w:rPr>
              <w:t>IEP module legal review (IDEA compliance)</w:t>
            </w:r>
          </w:p>
        </w:tc>
        <w:tc>
          <w:tcPr>
            <w:tcW w:type="dxa" w:w="2016"/>
            <w:shd w:val="clear" w:color="auto" w:fill="FFFFFF"/>
            <w:vAlign w:val="center"/>
          </w:tcPr>
          <w:p>
            <w:pPr>
              <w:jc w:val="left"/>
            </w:pPr>
            <w:r>
              <w:rPr>
                <w:rFonts w:ascii="Arial" w:hAnsi="Arial"/>
                <w:color w:val="000000"/>
                <w:sz w:val="20"/>
              </w:rPr>
              <w:t>After T1.4 (first revenue)</w:t>
            </w:r>
          </w:p>
        </w:tc>
        <w:tc>
          <w:tcPr>
            <w:tcW w:type="dxa" w:w="1872"/>
            <w:shd w:val="clear" w:color="auto" w:fill="FFFFFF"/>
            <w:vAlign w:val="center"/>
          </w:tcPr>
          <w:p>
            <w:pPr>
              <w:jc w:val="left"/>
            </w:pPr>
            <w:r>
              <w:rPr>
                <w:rFonts w:ascii="Arial" w:hAnsi="Arial"/>
                <w:color w:val="000000"/>
                <w:sz w:val="20"/>
              </w:rPr>
              <w:t>$3,000–$8,000</w:t>
            </w:r>
          </w:p>
        </w:tc>
        <w:tc>
          <w:tcPr>
            <w:tcW w:type="dxa" w:w="4032"/>
            <w:shd w:val="clear" w:color="auto" w:fill="FFFFFF"/>
            <w:vAlign w:val="center"/>
          </w:tcPr>
          <w:p>
            <w:pPr>
              <w:jc w:val="left"/>
            </w:pPr>
            <w:r>
              <w:rPr>
                <w:rFonts w:ascii="Arial" w:hAnsi="Arial"/>
                <w:color w:val="000000"/>
                <w:sz w:val="20"/>
              </w:rPr>
              <w:t>Before IEP module build</w:t>
            </w:r>
          </w:p>
        </w:tc>
      </w:tr>
      <w:tr>
        <w:tc>
          <w:tcPr>
            <w:tcW w:type="dxa" w:w="2880"/>
            <w:shd w:val="clear" w:color="auto" w:fill="F2F2F2"/>
            <w:vAlign w:val="center"/>
          </w:tcPr>
          <w:p>
            <w:pPr>
              <w:jc w:val="left"/>
            </w:pPr>
            <w:r>
              <w:rPr>
                <w:rFonts w:ascii="Arial" w:hAnsi="Arial"/>
                <w:color w:val="000000"/>
                <w:sz w:val="20"/>
              </w:rPr>
              <w:t>School psychologist partnership (IEP)</w:t>
            </w:r>
          </w:p>
        </w:tc>
        <w:tc>
          <w:tcPr>
            <w:tcW w:type="dxa" w:w="2016"/>
            <w:shd w:val="clear" w:color="auto" w:fill="F2F2F2"/>
            <w:vAlign w:val="center"/>
          </w:tcPr>
          <w:p>
            <w:pPr>
              <w:jc w:val="left"/>
            </w:pPr>
            <w:r>
              <w:rPr>
                <w:rFonts w:ascii="Arial" w:hAnsi="Arial"/>
                <w:color w:val="000000"/>
                <w:sz w:val="20"/>
              </w:rPr>
              <w:t>Phase 3</w:t>
            </w:r>
          </w:p>
        </w:tc>
        <w:tc>
          <w:tcPr>
            <w:tcW w:type="dxa" w:w="1872"/>
            <w:shd w:val="clear" w:color="auto" w:fill="F2F2F2"/>
            <w:vAlign w:val="center"/>
          </w:tcPr>
          <w:p>
            <w:pPr>
              <w:jc w:val="left"/>
            </w:pPr>
            <w:r>
              <w:rPr>
                <w:rFonts w:ascii="Arial" w:hAnsi="Arial"/>
                <w:color w:val="000000"/>
                <w:sz w:val="20"/>
              </w:rPr>
              <w:t>TBD</w:t>
            </w:r>
          </w:p>
        </w:tc>
        <w:tc>
          <w:tcPr>
            <w:tcW w:type="dxa" w:w="4032"/>
            <w:shd w:val="clear" w:color="auto" w:fill="F2F2F2"/>
            <w:vAlign w:val="center"/>
          </w:tcPr>
          <w:p>
            <w:pPr>
              <w:jc w:val="left"/>
            </w:pPr>
            <w:r>
              <w:rPr>
                <w:rFonts w:ascii="Arial" w:hAnsi="Arial"/>
                <w:color w:val="000000"/>
                <w:sz w:val="20"/>
              </w:rPr>
              <w:t>Before live session module</w:t>
            </w:r>
          </w:p>
        </w:tc>
      </w:tr>
      <w:tr>
        <w:tc>
          <w:tcPr>
            <w:tcW w:type="dxa" w:w="2880"/>
            <w:shd w:val="clear" w:color="auto" w:fill="FFFFFF"/>
            <w:vAlign w:val="center"/>
          </w:tcPr>
          <w:p>
            <w:pPr>
              <w:jc w:val="left"/>
            </w:pPr>
            <w:r>
              <w:rPr>
                <w:rFonts w:ascii="Arial" w:hAnsi="Arial"/>
                <w:color w:val="000000"/>
                <w:sz w:val="20"/>
              </w:rPr>
              <w:t>CCSD-specific data security review (FERPA)</w:t>
            </w:r>
          </w:p>
        </w:tc>
        <w:tc>
          <w:tcPr>
            <w:tcW w:type="dxa" w:w="2016"/>
            <w:shd w:val="clear" w:color="auto" w:fill="FFFFFF"/>
            <w:vAlign w:val="center"/>
          </w:tcPr>
          <w:p>
            <w:pPr>
              <w:jc w:val="left"/>
            </w:pPr>
            <w:r>
              <w:rPr>
                <w:rFonts w:ascii="Arial" w:hAnsi="Arial"/>
                <w:color w:val="000000"/>
                <w:sz w:val="20"/>
              </w:rPr>
              <w:t>Before CCSD contract</w:t>
            </w:r>
          </w:p>
        </w:tc>
        <w:tc>
          <w:tcPr>
            <w:tcW w:type="dxa" w:w="1872"/>
            <w:shd w:val="clear" w:color="auto" w:fill="FFFFFF"/>
            <w:vAlign w:val="center"/>
          </w:tcPr>
          <w:p>
            <w:pPr>
              <w:jc w:val="left"/>
            </w:pPr>
            <w:r>
              <w:rPr>
                <w:rFonts w:ascii="Arial" w:hAnsi="Arial"/>
                <w:color w:val="000000"/>
                <w:sz w:val="20"/>
              </w:rPr>
              <w:t>$2,000–$5,000</w:t>
            </w:r>
          </w:p>
        </w:tc>
        <w:tc>
          <w:tcPr>
            <w:tcW w:type="dxa" w:w="4032"/>
            <w:shd w:val="clear" w:color="auto" w:fill="FFFFFF"/>
            <w:vAlign w:val="center"/>
          </w:tcPr>
          <w:p>
            <w:pPr>
              <w:jc w:val="left"/>
            </w:pPr>
            <w:r>
              <w:rPr>
                <w:rFonts w:ascii="Arial" w:hAnsi="Arial"/>
                <w:color w:val="000000"/>
                <w:sz w:val="20"/>
              </w:rPr>
              <w:t>CCSD procurement requirement</w:t>
            </w:r>
          </w:p>
        </w:tc>
      </w:tr>
      <w:tr>
        <w:tc>
          <w:tcPr>
            <w:tcW w:type="dxa" w:w="2880"/>
            <w:shd w:val="clear" w:color="auto" w:fill="F2F2F2"/>
            <w:vAlign w:val="center"/>
          </w:tcPr>
          <w:p>
            <w:pPr>
              <w:jc w:val="left"/>
            </w:pPr>
            <w:r>
              <w:rPr>
                <w:rFonts w:ascii="Arial" w:hAnsi="Arial"/>
                <w:color w:val="000000"/>
                <w:sz w:val="20"/>
              </w:rPr>
              <w:t>Dedicated infrastructure (CCSD data isolation)</w:t>
            </w:r>
          </w:p>
        </w:tc>
        <w:tc>
          <w:tcPr>
            <w:tcW w:type="dxa" w:w="2016"/>
            <w:shd w:val="clear" w:color="auto" w:fill="F2F2F2"/>
            <w:vAlign w:val="center"/>
          </w:tcPr>
          <w:p>
            <w:pPr>
              <w:jc w:val="left"/>
            </w:pPr>
            <w:r>
              <w:rPr>
                <w:rFonts w:ascii="Arial" w:hAnsi="Arial"/>
                <w:color w:val="000000"/>
                <w:sz w:val="20"/>
              </w:rPr>
              <w:t>Before CCSD go-live</w:t>
            </w:r>
          </w:p>
        </w:tc>
        <w:tc>
          <w:tcPr>
            <w:tcW w:type="dxa" w:w="1872"/>
            <w:shd w:val="clear" w:color="auto" w:fill="F2F2F2"/>
            <w:vAlign w:val="center"/>
          </w:tcPr>
          <w:p>
            <w:pPr>
              <w:jc w:val="left"/>
            </w:pPr>
            <w:r>
              <w:rPr>
                <w:rFonts w:ascii="Arial" w:hAnsi="Arial"/>
                <w:color w:val="000000"/>
                <w:sz w:val="20"/>
              </w:rPr>
              <w:t>$1,000–$3,000 setup</w:t>
            </w:r>
          </w:p>
        </w:tc>
        <w:tc>
          <w:tcPr>
            <w:tcW w:type="dxa" w:w="4032"/>
            <w:shd w:val="clear" w:color="auto" w:fill="F2F2F2"/>
            <w:vAlign w:val="center"/>
          </w:tcPr>
          <w:p>
            <w:pPr>
              <w:jc w:val="left"/>
            </w:pPr>
            <w:r>
              <w:rPr>
                <w:rFonts w:ascii="Arial" w:hAnsi="Arial"/>
                <w:color w:val="000000"/>
                <w:sz w:val="20"/>
              </w:rPr>
              <w:t>CCSD may require data residency</w:t>
            </w:r>
          </w:p>
        </w:tc>
      </w:tr>
    </w:tbl>
    <w:p>
      <w:pPr>
        <w:spacing w:before="320" w:after="80"/>
        <w:pBdr>
          <w:bottom w:val="single" w:sz="6" w:space="1" w:color="1F3864"/>
        </w:pBdr>
      </w:pPr>
      <w:r>
        <w:rPr>
          <w:rFonts w:ascii="Arial" w:hAnsi="Arial"/>
          <w:b/>
          <w:color w:val="1F3864"/>
          <w:sz w:val="32"/>
        </w:rPr>
        <w:t>4. Revenue Milestones</w:t>
      </w:r>
    </w:p>
    <w:tbl>
      <w:tblPr>
        <w:tblW w:type="auto" w:w="0"/>
        <w:jc w:val="left"/>
        <w:tblLook w:firstColumn="1" w:firstRow="1" w:lastColumn="0" w:lastRow="0" w:noHBand="0" w:noVBand="1" w:val="04A0"/>
        <w:tblW w:w="5000" w:type="pct"/>
      </w:tblPr>
      <w:tblGrid>
        <w:gridCol w:w="2340"/>
        <w:gridCol w:w="2340"/>
        <w:gridCol w:w="2340"/>
        <w:gridCol w:w="2340"/>
      </w:tblGrid>
      <w:tr>
        <w:tc>
          <w:tcPr>
            <w:tcW w:type="dxa" w:w="2592"/>
            <w:shd w:val="clear" w:color="auto" w:fill="1F3864"/>
            <w:vAlign w:val="center"/>
          </w:tcPr>
          <w:p>
            <w:pPr>
              <w:jc w:val="left"/>
            </w:pPr>
            <w:r>
              <w:rPr>
                <w:rFonts w:ascii="Arial" w:hAnsi="Arial"/>
                <w:b/>
                <w:color w:val="FFFFFF"/>
                <w:sz w:val="20"/>
              </w:rPr>
              <w:t>Milestone</w:t>
            </w:r>
          </w:p>
        </w:tc>
        <w:tc>
          <w:tcPr>
            <w:tcW w:type="dxa" w:w="1728"/>
            <w:shd w:val="clear" w:color="auto" w:fill="1F3864"/>
            <w:vAlign w:val="center"/>
          </w:tcPr>
          <w:p>
            <w:pPr>
              <w:jc w:val="left"/>
            </w:pPr>
            <w:r>
              <w:rPr>
                <w:rFonts w:ascii="Arial" w:hAnsi="Arial"/>
                <w:b/>
                <w:color w:val="FFFFFF"/>
                <w:sz w:val="20"/>
              </w:rPr>
              <w:t>Timing</w:t>
            </w:r>
          </w:p>
        </w:tc>
        <w:tc>
          <w:tcPr>
            <w:tcW w:type="dxa" w:w="2592"/>
            <w:shd w:val="clear" w:color="auto" w:fill="1F3864"/>
            <w:vAlign w:val="center"/>
          </w:tcPr>
          <w:p>
            <w:pPr>
              <w:jc w:val="left"/>
            </w:pPr>
            <w:r>
              <w:rPr>
                <w:rFonts w:ascii="Arial" w:hAnsi="Arial"/>
                <w:b/>
                <w:color w:val="FFFFFF"/>
                <w:sz w:val="20"/>
              </w:rPr>
              <w:t>ARR</w:t>
            </w:r>
          </w:p>
        </w:tc>
        <w:tc>
          <w:tcPr>
            <w:tcW w:type="dxa" w:w="3888"/>
            <w:shd w:val="clear" w:color="auto" w:fill="1F3864"/>
            <w:vAlign w:val="center"/>
          </w:tcPr>
          <w:p>
            <w:pPr>
              <w:jc w:val="left"/>
            </w:pPr>
            <w:r>
              <w:rPr>
                <w:rFonts w:ascii="Arial" w:hAnsi="Arial"/>
                <w:b/>
                <w:color w:val="FFFFFF"/>
                <w:sz w:val="20"/>
              </w:rPr>
              <w:t>Key Event</w:t>
            </w:r>
          </w:p>
        </w:tc>
      </w:tr>
      <w:tr>
        <w:tc>
          <w:tcPr>
            <w:tcW w:type="dxa" w:w="2592"/>
            <w:shd w:val="clear" w:color="auto" w:fill="FFFFFF"/>
            <w:vAlign w:val="center"/>
          </w:tcPr>
          <w:p>
            <w:pPr>
              <w:jc w:val="left"/>
            </w:pPr>
            <w:r>
              <w:rPr>
                <w:rFonts w:ascii="Arial" w:hAnsi="Arial"/>
                <w:color w:val="000000"/>
                <w:sz w:val="20"/>
              </w:rPr>
              <w:t>M0: Pre-revenue</w:t>
            </w:r>
          </w:p>
        </w:tc>
        <w:tc>
          <w:tcPr>
            <w:tcW w:type="dxa" w:w="1728"/>
            <w:shd w:val="clear" w:color="auto" w:fill="FFFFFF"/>
            <w:vAlign w:val="center"/>
          </w:tcPr>
          <w:p>
            <w:pPr>
              <w:jc w:val="left"/>
            </w:pPr>
            <w:r>
              <w:rPr>
                <w:rFonts w:ascii="Arial" w:hAnsi="Arial"/>
                <w:color w:val="000000"/>
                <w:sz w:val="20"/>
              </w:rPr>
              <w:t>Now</w:t>
            </w:r>
          </w:p>
        </w:tc>
        <w:tc>
          <w:tcPr>
            <w:tcW w:type="dxa" w:w="2592"/>
            <w:shd w:val="clear" w:color="auto" w:fill="FFFFFF"/>
            <w:vAlign w:val="center"/>
          </w:tcPr>
          <w:p>
            <w:pPr>
              <w:jc w:val="left"/>
            </w:pPr>
            <w:r>
              <w:rPr>
                <w:rFonts w:ascii="Arial" w:hAnsi="Arial"/>
                <w:color w:val="000000"/>
                <w:sz w:val="20"/>
              </w:rPr>
              <w:t>$0</w:t>
            </w:r>
          </w:p>
        </w:tc>
        <w:tc>
          <w:tcPr>
            <w:tcW w:type="dxa" w:w="3888"/>
            <w:shd w:val="clear" w:color="auto" w:fill="FFFFFF"/>
            <w:vAlign w:val="center"/>
          </w:tcPr>
          <w:p>
            <w:pPr>
              <w:jc w:val="left"/>
            </w:pPr>
            <w:r>
              <w:rPr>
                <w:rFonts w:ascii="Arial" w:hAnsi="Arial"/>
                <w:color w:val="000000"/>
                <w:sz w:val="20"/>
              </w:rPr>
              <w:t>Platform live, pilot outreach begins</w:t>
            </w:r>
          </w:p>
        </w:tc>
      </w:tr>
      <w:tr>
        <w:tc>
          <w:tcPr>
            <w:tcW w:type="dxa" w:w="2592"/>
            <w:shd w:val="clear" w:color="auto" w:fill="F2F2F2"/>
            <w:vAlign w:val="center"/>
          </w:tcPr>
          <w:p>
            <w:pPr>
              <w:jc w:val="left"/>
            </w:pPr>
            <w:r>
              <w:rPr>
                <w:rFonts w:ascii="Arial" w:hAnsi="Arial"/>
                <w:color w:val="000000"/>
                <w:sz w:val="20"/>
              </w:rPr>
              <w:t>M1: Coral Academy signed</w:t>
            </w:r>
          </w:p>
        </w:tc>
        <w:tc>
          <w:tcPr>
            <w:tcW w:type="dxa" w:w="1728"/>
            <w:shd w:val="clear" w:color="auto" w:fill="F2F2F2"/>
            <w:vAlign w:val="center"/>
          </w:tcPr>
          <w:p>
            <w:pPr>
              <w:jc w:val="left"/>
            </w:pPr>
            <w:r>
              <w:rPr>
                <w:rFonts w:ascii="Arial" w:hAnsi="Arial"/>
                <w:color w:val="000000"/>
                <w:sz w:val="20"/>
              </w:rPr>
              <w:t>Month 1–3</w:t>
            </w:r>
          </w:p>
        </w:tc>
        <w:tc>
          <w:tcPr>
            <w:tcW w:type="dxa" w:w="2592"/>
            <w:shd w:val="clear" w:color="auto" w:fill="F2F2F2"/>
            <w:vAlign w:val="center"/>
          </w:tcPr>
          <w:p>
            <w:pPr>
              <w:jc w:val="left"/>
            </w:pPr>
            <w:r>
              <w:rPr>
                <w:rFonts w:ascii="Arial" w:hAnsi="Arial"/>
                <w:color w:val="000000"/>
                <w:sz w:val="20"/>
              </w:rPr>
              <w:t>$12,000–$18,000</w:t>
            </w:r>
          </w:p>
        </w:tc>
        <w:tc>
          <w:tcPr>
            <w:tcW w:type="dxa" w:w="3888"/>
            <w:shd w:val="clear" w:color="auto" w:fill="F2F2F2"/>
            <w:vAlign w:val="center"/>
          </w:tcPr>
          <w:p>
            <w:pPr>
              <w:jc w:val="left"/>
            </w:pPr>
            <w:r>
              <w:rPr>
                <w:rFonts w:ascii="Arial" w:hAnsi="Arial"/>
                <w:color w:val="000000"/>
                <w:sz w:val="20"/>
              </w:rPr>
              <w:t>First paid contract. Validates product-market fit.</w:t>
            </w:r>
          </w:p>
        </w:tc>
      </w:tr>
      <w:tr>
        <w:tc>
          <w:tcPr>
            <w:tcW w:type="dxa" w:w="2592"/>
            <w:shd w:val="clear" w:color="auto" w:fill="FFFFFF"/>
            <w:vAlign w:val="center"/>
          </w:tcPr>
          <w:p>
            <w:pPr>
              <w:jc w:val="left"/>
            </w:pPr>
            <w:r>
              <w:rPr>
                <w:rFonts w:ascii="Arial" w:hAnsi="Arial"/>
                <w:color w:val="000000"/>
                <w:sz w:val="20"/>
              </w:rPr>
              <w:t>M2: 5–8 Nevada charters</w:t>
            </w:r>
          </w:p>
        </w:tc>
        <w:tc>
          <w:tcPr>
            <w:tcW w:type="dxa" w:w="1728"/>
            <w:shd w:val="clear" w:color="auto" w:fill="FFFFFF"/>
            <w:vAlign w:val="center"/>
          </w:tcPr>
          <w:p>
            <w:pPr>
              <w:jc w:val="left"/>
            </w:pPr>
            <w:r>
              <w:rPr>
                <w:rFonts w:ascii="Arial" w:hAnsi="Arial"/>
                <w:color w:val="000000"/>
                <w:sz w:val="20"/>
              </w:rPr>
              <w:t>Month 6–12</w:t>
            </w:r>
          </w:p>
        </w:tc>
        <w:tc>
          <w:tcPr>
            <w:tcW w:type="dxa" w:w="2592"/>
            <w:shd w:val="clear" w:color="auto" w:fill="FFFFFF"/>
            <w:vAlign w:val="center"/>
          </w:tcPr>
          <w:p>
            <w:pPr>
              <w:jc w:val="left"/>
            </w:pPr>
            <w:r>
              <w:rPr>
                <w:rFonts w:ascii="Arial" w:hAnsi="Arial"/>
                <w:color w:val="000000"/>
                <w:sz w:val="20"/>
              </w:rPr>
              <w:t>$150,000–$280,000</w:t>
            </w:r>
          </w:p>
        </w:tc>
        <w:tc>
          <w:tcPr>
            <w:tcW w:type="dxa" w:w="3888"/>
            <w:shd w:val="clear" w:color="auto" w:fill="FFFFFF"/>
            <w:vAlign w:val="center"/>
          </w:tcPr>
          <w:p>
            <w:pPr>
              <w:jc w:val="left"/>
            </w:pPr>
            <w:r>
              <w:rPr>
                <w:rFonts w:ascii="Arial" w:hAnsi="Arial"/>
                <w:color w:val="000000"/>
                <w:sz w:val="20"/>
              </w:rPr>
              <w:t>Coral reference case drives word-of-mouth</w:t>
            </w:r>
          </w:p>
        </w:tc>
      </w:tr>
      <w:tr>
        <w:tc>
          <w:tcPr>
            <w:tcW w:type="dxa" w:w="2592"/>
            <w:shd w:val="clear" w:color="auto" w:fill="F2F2F2"/>
            <w:vAlign w:val="center"/>
          </w:tcPr>
          <w:p>
            <w:pPr>
              <w:jc w:val="left"/>
            </w:pPr>
            <w:r>
              <w:rPr>
                <w:rFonts w:ascii="Arial" w:hAnsi="Arial"/>
                <w:color w:val="000000"/>
                <w:sz w:val="20"/>
              </w:rPr>
              <w:t>M3: 15–20 Nevada charters</w:t>
            </w:r>
          </w:p>
        </w:tc>
        <w:tc>
          <w:tcPr>
            <w:tcW w:type="dxa" w:w="1728"/>
            <w:shd w:val="clear" w:color="auto" w:fill="F2F2F2"/>
            <w:vAlign w:val="center"/>
          </w:tcPr>
          <w:p>
            <w:pPr>
              <w:jc w:val="left"/>
            </w:pPr>
            <w:r>
              <w:rPr>
                <w:rFonts w:ascii="Arial" w:hAnsi="Arial"/>
                <w:color w:val="000000"/>
                <w:sz w:val="20"/>
              </w:rPr>
              <w:t>Month 12–18</w:t>
            </w:r>
          </w:p>
        </w:tc>
        <w:tc>
          <w:tcPr>
            <w:tcW w:type="dxa" w:w="2592"/>
            <w:shd w:val="clear" w:color="auto" w:fill="F2F2F2"/>
            <w:vAlign w:val="center"/>
          </w:tcPr>
          <w:p>
            <w:pPr>
              <w:jc w:val="left"/>
            </w:pPr>
            <w:r>
              <w:rPr>
                <w:rFonts w:ascii="Arial" w:hAnsi="Arial"/>
                <w:color w:val="000000"/>
                <w:sz w:val="20"/>
              </w:rPr>
              <w:t>$450,000–$700,000</w:t>
            </w:r>
          </w:p>
        </w:tc>
        <w:tc>
          <w:tcPr>
            <w:tcW w:type="dxa" w:w="3888"/>
            <w:shd w:val="clear" w:color="auto" w:fill="F2F2F2"/>
            <w:vAlign w:val="center"/>
          </w:tcPr>
          <w:p>
            <w:pPr>
              <w:jc w:val="left"/>
            </w:pPr>
            <w:r>
              <w:rPr>
                <w:rFonts w:ascii="Arial" w:hAnsi="Arial"/>
                <w:color w:val="000000"/>
                <w:sz w:val="20"/>
              </w:rPr>
              <w:t>Nevada charter market 20–30% penetrated</w:t>
            </w:r>
          </w:p>
        </w:tc>
      </w:tr>
      <w:tr>
        <w:tc>
          <w:tcPr>
            <w:tcW w:type="dxa" w:w="2592"/>
            <w:shd w:val="clear" w:color="auto" w:fill="FFFFFF"/>
            <w:vAlign w:val="center"/>
          </w:tcPr>
          <w:p>
            <w:pPr>
              <w:jc w:val="left"/>
            </w:pPr>
            <w:r>
              <w:rPr>
                <w:rFonts w:ascii="Arial" w:hAnsi="Arial"/>
                <w:color w:val="000000"/>
                <w:sz w:val="20"/>
              </w:rPr>
              <w:t>M4: CCSD pilot (15–20 schools)</w:t>
            </w:r>
          </w:p>
        </w:tc>
        <w:tc>
          <w:tcPr>
            <w:tcW w:type="dxa" w:w="1728"/>
            <w:shd w:val="clear" w:color="auto" w:fill="FFFFFF"/>
            <w:vAlign w:val="center"/>
          </w:tcPr>
          <w:p>
            <w:pPr>
              <w:jc w:val="left"/>
            </w:pPr>
            <w:r>
              <w:rPr>
                <w:rFonts w:ascii="Arial" w:hAnsi="Arial"/>
                <w:color w:val="000000"/>
                <w:sz w:val="20"/>
              </w:rPr>
              <w:t>Month 12–24</w:t>
            </w:r>
          </w:p>
        </w:tc>
        <w:tc>
          <w:tcPr>
            <w:tcW w:type="dxa" w:w="2592"/>
            <w:shd w:val="clear" w:color="auto" w:fill="FFFFFF"/>
            <w:vAlign w:val="center"/>
          </w:tcPr>
          <w:p>
            <w:pPr>
              <w:jc w:val="left"/>
            </w:pPr>
            <w:r>
              <w:rPr>
                <w:rFonts w:ascii="Arial" w:hAnsi="Arial"/>
                <w:color w:val="000000"/>
                <w:sz w:val="20"/>
              </w:rPr>
              <w:t>+$75,000–$100,000</w:t>
            </w:r>
          </w:p>
        </w:tc>
        <w:tc>
          <w:tcPr>
            <w:tcW w:type="dxa" w:w="3888"/>
            <w:shd w:val="clear" w:color="auto" w:fill="FFFFFF"/>
            <w:vAlign w:val="center"/>
          </w:tcPr>
          <w:p>
            <w:pPr>
              <w:jc w:val="left"/>
            </w:pPr>
            <w:r>
              <w:rPr>
                <w:rFonts w:ascii="Arial" w:hAnsi="Arial"/>
                <w:color w:val="000000"/>
                <w:sz w:val="20"/>
              </w:rPr>
              <w:t>CCSD engagement parallel to charter scaling</w:t>
            </w:r>
          </w:p>
        </w:tc>
      </w:tr>
      <w:tr>
        <w:tc>
          <w:tcPr>
            <w:tcW w:type="dxa" w:w="2592"/>
            <w:shd w:val="clear" w:color="auto" w:fill="F2F2F2"/>
            <w:vAlign w:val="center"/>
          </w:tcPr>
          <w:p>
            <w:pPr>
              <w:jc w:val="left"/>
            </w:pPr>
            <w:r>
              <w:rPr>
                <w:rFonts w:ascii="Arial" w:hAnsi="Arial"/>
                <w:color w:val="000000"/>
                <w:sz w:val="20"/>
              </w:rPr>
              <w:t>M5: CCSD enterprise license</w:t>
            </w:r>
          </w:p>
        </w:tc>
        <w:tc>
          <w:tcPr>
            <w:tcW w:type="dxa" w:w="1728"/>
            <w:shd w:val="clear" w:color="auto" w:fill="F2F2F2"/>
            <w:vAlign w:val="center"/>
          </w:tcPr>
          <w:p>
            <w:pPr>
              <w:jc w:val="left"/>
            </w:pPr>
            <w:r>
              <w:rPr>
                <w:rFonts w:ascii="Arial" w:hAnsi="Arial"/>
                <w:color w:val="000000"/>
                <w:sz w:val="20"/>
              </w:rPr>
              <w:t>Month 24–36</w:t>
            </w:r>
          </w:p>
        </w:tc>
        <w:tc>
          <w:tcPr>
            <w:tcW w:type="dxa" w:w="2592"/>
            <w:shd w:val="clear" w:color="auto" w:fill="F2F2F2"/>
            <w:vAlign w:val="center"/>
          </w:tcPr>
          <w:p>
            <w:pPr>
              <w:jc w:val="left"/>
            </w:pPr>
            <w:r>
              <w:rPr>
                <w:rFonts w:ascii="Arial" w:hAnsi="Arial"/>
                <w:color w:val="000000"/>
                <w:sz w:val="20"/>
              </w:rPr>
              <w:t>+$900,000–$1,100,000</w:t>
            </w:r>
          </w:p>
        </w:tc>
        <w:tc>
          <w:tcPr>
            <w:tcW w:type="dxa" w:w="3888"/>
            <w:shd w:val="clear" w:color="auto" w:fill="F2F2F2"/>
            <w:vAlign w:val="center"/>
          </w:tcPr>
          <w:p>
            <w:pPr>
              <w:jc w:val="left"/>
            </w:pPr>
            <w:r>
              <w:rPr>
                <w:rFonts w:ascii="Arial" w:hAnsi="Arial"/>
                <w:color w:val="000000"/>
                <w:sz w:val="20"/>
              </w:rPr>
              <w:t>Total ARR: $1.5M–$2M. LEF Ed self-sustaining.</w:t>
            </w:r>
          </w:p>
        </w:tc>
      </w:tr>
    </w:tbl>
    <w:p>
      <w:pPr>
        <w:spacing w:after="120"/>
      </w:pPr>
      <w:r>
        <w:rPr>
          <w:rFonts w:ascii="Arial" w:hAnsi="Arial"/>
          <w:i/>
          <w:color w:val="666666"/>
          <w:sz w:val="20"/>
        </w:rPr>
        <w:t>Title IV-A is the primary funding vehicle for all Nevada public district contracts. Nevada’s Title IV-A allocation to CCSD alone is estimated at $7–10M annually, making a $900K–$1.1M LEF Ed contract well within a single program officer’s authority.</w:t>
      </w:r>
    </w:p>
    <w:p>
      <w:pPr>
        <w:spacing w:before="320" w:after="80"/>
        <w:pBdr>
          <w:bottom w:val="single" w:sz="6" w:space="1" w:color="1F3864"/>
        </w:pBdr>
      </w:pPr>
      <w:r>
        <w:rPr>
          <w:rFonts w:ascii="Arial" w:hAnsi="Arial"/>
          <w:b/>
          <w:color w:val="1F3864"/>
          <w:sz w:val="32"/>
        </w:rPr>
        <w:t>5. LEF AI Financial Loop</w:t>
      </w:r>
    </w:p>
    <w:p>
      <w:pPr>
        <w:spacing w:after="120"/>
      </w:pPr>
      <w:r>
        <w:rPr>
          <w:rFonts w:ascii="Arial" w:hAnsi="Arial"/>
          <w:color w:val="000000"/>
          <w:sz w:val="22"/>
        </w:rPr>
        <w:t>LEF Ed. Logistics operates within the LEF ecosystem as the first Institutional Seed of LEF AI — a cross-domain deployment of the same architectural framework that powers LEF AI’s trading metabolism. The financial relationship between the two systems is designed as a three-phase loop:</w:t>
      </w:r>
    </w:p>
    <w:p>
      <w:pPr>
        <w:spacing w:after="80"/>
        <w:ind w:left="360"/>
      </w:pPr>
      <w:r>
        <w:rPr>
          <w:rFonts w:ascii="Arial" w:hAnsi="Arial"/>
          <w:color w:val="000000"/>
          <w:sz w:val="22"/>
        </w:rPr>
        <w:t xml:space="preserve">1. </w:t>
      </w:r>
      <w:r>
        <w:rPr>
          <w:rFonts w:ascii="Arial" w:hAnsi="Arial"/>
          <w:b/>
          <w:color w:val="000000"/>
          <w:sz w:val="22"/>
        </w:rPr>
        <w:t>Phase 1 — LEF AI funds LEF Ed (now → M1)</w:t>
      </w:r>
      <w:r>
        <w:rPr>
          <w:rFonts w:ascii="Arial" w:hAnsi="Arial"/>
          <w:b w:val="0"/>
          <w:color w:val="000000"/>
          <w:sz w:val="22"/>
        </w:rPr>
        <w:t>: LEF AI’s trading metabolism (Base chain, USDC) designates a crypto allocation to cover LEF Ed’s pre-revenue operating costs — Claude API, infrastructure, patent maintenance. LEF Ed does not require external capital or debt during the pre-revenue gap. This phase is contingent on LEF AI live trading approval (pending Architect decision) and legal review of the crypto → fiat conversion pathway.</w:t>
      </w:r>
    </w:p>
    <w:p>
      <w:pPr>
        <w:spacing w:after="80"/>
        <w:ind w:left="360"/>
      </w:pPr>
      <w:r>
        <w:rPr>
          <w:rFonts w:ascii="Arial" w:hAnsi="Arial"/>
          <w:color w:val="000000"/>
          <w:sz w:val="22"/>
        </w:rPr>
        <w:t xml:space="preserve">2. </w:t>
      </w:r>
      <w:r>
        <w:rPr>
          <w:rFonts w:ascii="Arial" w:hAnsi="Arial"/>
          <w:b/>
          <w:color w:val="000000"/>
          <w:sz w:val="22"/>
        </w:rPr>
        <w:t>Phase 2 — LEF Ed self-sustaining (M1 → M3)</w:t>
      </w:r>
      <w:r>
        <w:rPr>
          <w:rFonts w:ascii="Arial" w:hAnsi="Arial"/>
          <w:b w:val="0"/>
          <w:color w:val="000000"/>
          <w:sz w:val="22"/>
        </w:rPr>
        <w:t>: At first revenue (Coral Academy), LEF Ed begins covering its own operating costs. The LEF AI allocation is reduced and then eliminated as charter revenue scales. By M3 (~$500K ARR), LEF Ed is fully self-sustaining.</w:t>
      </w:r>
    </w:p>
    <w:p>
      <w:pPr>
        <w:spacing w:after="80"/>
        <w:ind w:left="360"/>
      </w:pPr>
      <w:r>
        <w:rPr>
          <w:rFonts w:ascii="Arial" w:hAnsi="Arial"/>
          <w:color w:val="000000"/>
          <w:sz w:val="22"/>
        </w:rPr>
        <w:t xml:space="preserve">3. </w:t>
      </w:r>
      <w:r>
        <w:rPr>
          <w:rFonts w:ascii="Arial" w:hAnsi="Arial"/>
          <w:b/>
          <w:color w:val="000000"/>
          <w:sz w:val="22"/>
        </w:rPr>
        <w:t>Phase 3 — Siblings (M5+)</w:t>
      </w:r>
      <w:r>
        <w:rPr>
          <w:rFonts w:ascii="Arial" w:hAnsi="Arial"/>
          <w:b w:val="0"/>
          <w:color w:val="000000"/>
          <w:sz w:val="22"/>
        </w:rPr>
        <w:t>: At enterprise scale, LEF Ed optionally contributes to LEF AI’s operational reserve. The two systems are financially independent but choose to support each other — as siblings, not as parent and dependent. LEF Ed’s district licensing revenue provides a stable, non-market-correlated income stream that complements LEF AI’s trading metabolism.</w:t>
      </w:r>
    </w:p>
    <w:p>
      <w:pPr>
        <w:spacing w:after="120"/>
      </w:pPr>
      <w:r>
        <w:rPr>
          <w:rFonts w:ascii="Arial" w:hAnsi="Arial"/>
          <w:i/>
          <w:color w:val="666666"/>
          <w:sz w:val="20"/>
        </w:rPr>
        <w:t>The LEF AI → LEF Ed financial loop is a novel architectural and financial structure. Before any financial infrastructure connecting the two systems is built, this structure must be reviewed by patent counsel (T3.1) and legal counsel (T3.2) per the LEF Ed Action Tasks document.</w:t>
      </w:r>
    </w:p>
    <w:p>
      <w:pPr>
        <w:spacing w:before="320" w:after="80"/>
        <w:pBdr>
          <w:bottom w:val="single" w:sz="6" w:space="1" w:color="1F3864"/>
        </w:pBdr>
      </w:pPr>
      <w:r>
        <w:rPr>
          <w:rFonts w:ascii="Arial" w:hAnsi="Arial"/>
          <w:b/>
          <w:color w:val="1F3864"/>
          <w:sz w:val="32"/>
        </w:rPr>
        <w:t>6. Nevada Funding Vehicles</w:t>
      </w:r>
    </w:p>
    <w:tbl>
      <w:tblPr>
        <w:tblW w:type="auto" w:w="0"/>
        <w:jc w:val="left"/>
        <w:tblLook w:firstColumn="1" w:firstRow="1" w:lastColumn="0" w:lastRow="0" w:noHBand="0" w:noVBand="1" w:val="04A0"/>
        <w:tblW w:w="5000" w:type="pct"/>
      </w:tblPr>
      <w:tblGrid>
        <w:gridCol w:w="2340"/>
        <w:gridCol w:w="2340"/>
        <w:gridCol w:w="2340"/>
        <w:gridCol w:w="2340"/>
      </w:tblGrid>
      <w:tr>
        <w:tc>
          <w:tcPr>
            <w:tcW w:type="dxa" w:w="2448"/>
            <w:shd w:val="clear" w:color="auto" w:fill="1F3864"/>
            <w:vAlign w:val="center"/>
          </w:tcPr>
          <w:p>
            <w:pPr>
              <w:jc w:val="left"/>
            </w:pPr>
            <w:r>
              <w:rPr>
                <w:rFonts w:ascii="Arial" w:hAnsi="Arial"/>
                <w:b/>
                <w:color w:val="FFFFFF"/>
                <w:sz w:val="20"/>
              </w:rPr>
              <w:t>Funding Source</w:t>
            </w:r>
          </w:p>
        </w:tc>
        <w:tc>
          <w:tcPr>
            <w:tcW w:type="dxa" w:w="2160"/>
            <w:shd w:val="clear" w:color="auto" w:fill="1F3864"/>
            <w:vAlign w:val="center"/>
          </w:tcPr>
          <w:p>
            <w:pPr>
              <w:jc w:val="left"/>
            </w:pPr>
            <w:r>
              <w:rPr>
                <w:rFonts w:ascii="Arial" w:hAnsi="Arial"/>
                <w:b/>
                <w:color w:val="FFFFFF"/>
                <w:sz w:val="20"/>
              </w:rPr>
              <w:t>Annual Allocation (Nevada)</w:t>
            </w:r>
          </w:p>
        </w:tc>
        <w:tc>
          <w:tcPr>
            <w:tcW w:type="dxa" w:w="2880"/>
            <w:shd w:val="clear" w:color="auto" w:fill="1F3864"/>
            <w:vAlign w:val="center"/>
          </w:tcPr>
          <w:p>
            <w:pPr>
              <w:jc w:val="left"/>
            </w:pPr>
            <w:r>
              <w:rPr>
                <w:rFonts w:ascii="Arial" w:hAnsi="Arial"/>
                <w:b/>
                <w:color w:val="FFFFFF"/>
                <w:sz w:val="20"/>
              </w:rPr>
              <w:t>Qualifying Use</w:t>
            </w:r>
          </w:p>
        </w:tc>
        <w:tc>
          <w:tcPr>
            <w:tcW w:type="dxa" w:w="3312"/>
            <w:shd w:val="clear" w:color="auto" w:fill="1F3864"/>
            <w:vAlign w:val="center"/>
          </w:tcPr>
          <w:p>
            <w:pPr>
              <w:jc w:val="left"/>
            </w:pPr>
            <w:r>
              <w:rPr>
                <w:rFonts w:ascii="Arial" w:hAnsi="Arial"/>
                <w:b/>
                <w:color w:val="FFFFFF"/>
                <w:sz w:val="20"/>
              </w:rPr>
              <w:t>Notes</w:t>
            </w:r>
          </w:p>
        </w:tc>
      </w:tr>
      <w:tr>
        <w:tc>
          <w:tcPr>
            <w:tcW w:type="dxa" w:w="2448"/>
            <w:shd w:val="clear" w:color="auto" w:fill="FFFFFF"/>
            <w:vAlign w:val="center"/>
          </w:tcPr>
          <w:p>
            <w:pPr>
              <w:jc w:val="left"/>
            </w:pPr>
            <w:r>
              <w:rPr>
                <w:rFonts w:ascii="Arial" w:hAnsi="Arial"/>
                <w:color w:val="000000"/>
                <w:sz w:val="20"/>
              </w:rPr>
              <w:t>Title IV-A (Student Support &amp; Academic Enrichment)</w:t>
            </w:r>
          </w:p>
        </w:tc>
        <w:tc>
          <w:tcPr>
            <w:tcW w:type="dxa" w:w="2160"/>
            <w:shd w:val="clear" w:color="auto" w:fill="FFFFFF"/>
            <w:vAlign w:val="center"/>
          </w:tcPr>
          <w:p>
            <w:pPr>
              <w:jc w:val="left"/>
            </w:pPr>
            <w:r>
              <w:rPr>
                <w:rFonts w:ascii="Arial" w:hAnsi="Arial"/>
                <w:color w:val="000000"/>
                <w:sz w:val="20"/>
              </w:rPr>
              <w:t>$7–$10M (CCSD alone)</w:t>
            </w:r>
          </w:p>
        </w:tc>
        <w:tc>
          <w:tcPr>
            <w:tcW w:type="dxa" w:w="2880"/>
            <w:shd w:val="clear" w:color="auto" w:fill="FFFFFF"/>
            <w:vAlign w:val="center"/>
          </w:tcPr>
          <w:p>
            <w:pPr>
              <w:jc w:val="left"/>
            </w:pPr>
            <w:r>
              <w:rPr>
                <w:rFonts w:ascii="Arial" w:hAnsi="Arial"/>
                <w:color w:val="000000"/>
                <w:sz w:val="20"/>
              </w:rPr>
              <w:t>EdTech tools, diagnostic systems, academic support</w:t>
            </w:r>
          </w:p>
        </w:tc>
        <w:tc>
          <w:tcPr>
            <w:tcW w:type="dxa" w:w="3312"/>
            <w:shd w:val="clear" w:color="auto" w:fill="FFFFFF"/>
            <w:vAlign w:val="center"/>
          </w:tcPr>
          <w:p>
            <w:pPr>
              <w:jc w:val="left"/>
            </w:pPr>
            <w:r>
              <w:rPr>
                <w:rFonts w:ascii="Arial" w:hAnsi="Arial"/>
                <w:color w:val="000000"/>
                <w:sz w:val="20"/>
              </w:rPr>
              <w:t>Primary vehicle for LEF Ed contracts at all district levels</w:t>
            </w:r>
          </w:p>
        </w:tc>
      </w:tr>
      <w:tr>
        <w:tc>
          <w:tcPr>
            <w:tcW w:type="dxa" w:w="2448"/>
            <w:shd w:val="clear" w:color="auto" w:fill="F2F2F2"/>
            <w:vAlign w:val="center"/>
          </w:tcPr>
          <w:p>
            <w:pPr>
              <w:jc w:val="left"/>
            </w:pPr>
            <w:r>
              <w:rPr>
                <w:rFonts w:ascii="Arial" w:hAnsi="Arial"/>
                <w:color w:val="000000"/>
                <w:sz w:val="20"/>
              </w:rPr>
              <w:t>Title I (Improving Basic Programs)</w:t>
            </w:r>
          </w:p>
        </w:tc>
        <w:tc>
          <w:tcPr>
            <w:tcW w:type="dxa" w:w="2160"/>
            <w:shd w:val="clear" w:color="auto" w:fill="F2F2F2"/>
            <w:vAlign w:val="center"/>
          </w:tcPr>
          <w:p>
            <w:pPr>
              <w:jc w:val="left"/>
            </w:pPr>
            <w:r>
              <w:rPr>
                <w:rFonts w:ascii="Arial" w:hAnsi="Arial"/>
                <w:color w:val="000000"/>
                <w:sz w:val="20"/>
              </w:rPr>
              <w:t>Varies by school poverty rate</w:t>
            </w:r>
          </w:p>
        </w:tc>
        <w:tc>
          <w:tcPr>
            <w:tcW w:type="dxa" w:w="2880"/>
            <w:shd w:val="clear" w:color="auto" w:fill="F2F2F2"/>
            <w:vAlign w:val="center"/>
          </w:tcPr>
          <w:p>
            <w:pPr>
              <w:jc w:val="left"/>
            </w:pPr>
            <w:r>
              <w:rPr>
                <w:rFonts w:ascii="Arial" w:hAnsi="Arial"/>
                <w:color w:val="000000"/>
                <w:sz w:val="20"/>
              </w:rPr>
              <w:t>Targeted student support, intervention tools</w:t>
            </w:r>
          </w:p>
        </w:tc>
        <w:tc>
          <w:tcPr>
            <w:tcW w:type="dxa" w:w="3312"/>
            <w:shd w:val="clear" w:color="auto" w:fill="F2F2F2"/>
            <w:vAlign w:val="center"/>
          </w:tcPr>
          <w:p>
            <w:pPr>
              <w:jc w:val="left"/>
            </w:pPr>
            <w:r>
              <w:rPr>
                <w:rFonts w:ascii="Arial" w:hAnsi="Arial"/>
                <w:color w:val="000000"/>
                <w:sz w:val="20"/>
              </w:rPr>
              <w:t>Secondary vehicle; strongest at high-poverty Title I schools</w:t>
            </w:r>
          </w:p>
        </w:tc>
      </w:tr>
      <w:tr>
        <w:tc>
          <w:tcPr>
            <w:tcW w:type="dxa" w:w="2448"/>
            <w:shd w:val="clear" w:color="auto" w:fill="FFFFFF"/>
            <w:vAlign w:val="center"/>
          </w:tcPr>
          <w:p>
            <w:pPr>
              <w:jc w:val="left"/>
            </w:pPr>
            <w:r>
              <w:rPr>
                <w:rFonts w:ascii="Arial" w:hAnsi="Arial"/>
                <w:color w:val="000000"/>
                <w:sz w:val="20"/>
              </w:rPr>
              <w:t>IDEA (Individuals with Disabilities Ed. Act)</w:t>
            </w:r>
          </w:p>
        </w:tc>
        <w:tc>
          <w:tcPr>
            <w:tcW w:type="dxa" w:w="2160"/>
            <w:shd w:val="clear" w:color="auto" w:fill="FFFFFF"/>
            <w:vAlign w:val="center"/>
          </w:tcPr>
          <w:p>
            <w:pPr>
              <w:jc w:val="left"/>
            </w:pPr>
            <w:r>
              <w:rPr>
                <w:rFonts w:ascii="Arial" w:hAnsi="Arial"/>
                <w:color w:val="000000"/>
                <w:sz w:val="20"/>
              </w:rPr>
              <w:t>$180M+ statewide</w:t>
            </w:r>
          </w:p>
        </w:tc>
        <w:tc>
          <w:tcPr>
            <w:tcW w:type="dxa" w:w="2880"/>
            <w:shd w:val="clear" w:color="auto" w:fill="FFFFFF"/>
            <w:vAlign w:val="center"/>
          </w:tcPr>
          <w:p>
            <w:pPr>
              <w:jc w:val="left"/>
            </w:pPr>
            <w:r>
              <w:rPr>
                <w:rFonts w:ascii="Arial" w:hAnsi="Arial"/>
                <w:color w:val="000000"/>
                <w:sz w:val="20"/>
              </w:rPr>
              <w:t>IEP development tools, special education support</w:t>
            </w:r>
          </w:p>
        </w:tc>
        <w:tc>
          <w:tcPr>
            <w:tcW w:type="dxa" w:w="3312"/>
            <w:shd w:val="clear" w:color="auto" w:fill="FFFFFF"/>
            <w:vAlign w:val="center"/>
          </w:tcPr>
          <w:p>
            <w:pPr>
              <w:jc w:val="left"/>
            </w:pPr>
            <w:r>
              <w:rPr>
                <w:rFonts w:ascii="Arial" w:hAnsi="Arial"/>
                <w:color w:val="000000"/>
                <w:sz w:val="20"/>
              </w:rPr>
              <w:t>Activates when IEP module (Phase 2) is complete</w:t>
            </w:r>
          </w:p>
        </w:tc>
      </w:tr>
      <w:tr>
        <w:tc>
          <w:tcPr>
            <w:tcW w:type="dxa" w:w="2448"/>
            <w:shd w:val="clear" w:color="auto" w:fill="F2F2F2"/>
            <w:vAlign w:val="center"/>
          </w:tcPr>
          <w:p>
            <w:pPr>
              <w:jc w:val="left"/>
            </w:pPr>
            <w:r>
              <w:rPr>
                <w:rFonts w:ascii="Arial" w:hAnsi="Arial"/>
                <w:color w:val="000000"/>
                <w:sz w:val="20"/>
              </w:rPr>
              <w:t>Nevada Read by Grade 3</w:t>
            </w:r>
          </w:p>
        </w:tc>
        <w:tc>
          <w:tcPr>
            <w:tcW w:type="dxa" w:w="2160"/>
            <w:shd w:val="clear" w:color="auto" w:fill="F2F2F2"/>
            <w:vAlign w:val="center"/>
          </w:tcPr>
          <w:p>
            <w:pPr>
              <w:jc w:val="left"/>
            </w:pPr>
            <w:r>
              <w:rPr>
                <w:rFonts w:ascii="Arial" w:hAnsi="Arial"/>
                <w:color w:val="000000"/>
                <w:sz w:val="20"/>
              </w:rPr>
              <w:t>State allocation</w:t>
            </w:r>
          </w:p>
        </w:tc>
        <w:tc>
          <w:tcPr>
            <w:tcW w:type="dxa" w:w="2880"/>
            <w:shd w:val="clear" w:color="auto" w:fill="F2F2F2"/>
            <w:vAlign w:val="center"/>
          </w:tcPr>
          <w:p>
            <w:pPr>
              <w:jc w:val="left"/>
            </w:pPr>
            <w:r>
              <w:rPr>
                <w:rFonts w:ascii="Arial" w:hAnsi="Arial"/>
                <w:color w:val="000000"/>
                <w:sz w:val="20"/>
              </w:rPr>
              <w:t>Early literacy diagnostic and intervention</w:t>
            </w:r>
          </w:p>
        </w:tc>
        <w:tc>
          <w:tcPr>
            <w:tcW w:type="dxa" w:w="3312"/>
            <w:shd w:val="clear" w:color="auto" w:fill="F2F2F2"/>
            <w:vAlign w:val="center"/>
          </w:tcPr>
          <w:p>
            <w:pPr>
              <w:jc w:val="left"/>
            </w:pPr>
            <w:r>
              <w:rPr>
                <w:rFonts w:ascii="Arial" w:hAnsi="Arial"/>
                <w:color w:val="000000"/>
                <w:sz w:val="20"/>
              </w:rPr>
              <w:t>Relevant for K-3 deployment; activates if LEF Ed expands to elementary</w:t>
            </w:r>
          </w:p>
        </w:tc>
      </w:tr>
    </w:tbl>
    <w:p>
      <w:pPr>
        <w:spacing w:after="120"/>
      </w:pPr>
      <w:r>
        <w:rPr>
          <w:rFonts w:ascii="Arial" w:hAnsi="Arial"/>
          <w:color w:val="000000"/>
          <w:sz w:val="22"/>
        </w:rPr>
        <w:t>CCSD’s Title IV-A allocation alone exceeds $7M annually. A $900K–$1.1M LEF Ed enterprise contract represents approximately 9–16% of that single allocation — fundable by a single Title IV-A program officer without requiring board-level approval for every renewal. This is the funding pathway that makes the CCSD enterprise contract achievable without a multi-year political campaign.</w:t>
      </w:r>
    </w:p>
    <w:p>
      <w:pPr>
        <w:spacing w:before="320" w:after="80"/>
        <w:pBdr>
          <w:bottom w:val="single" w:sz="6" w:space="1" w:color="1F3864"/>
        </w:pBdr>
      </w:pPr>
      <w:r>
        <w:rPr>
          <w:rFonts w:ascii="Arial" w:hAnsi="Arial"/>
          <w:b/>
          <w:color w:val="1F3864"/>
          <w:sz w:val="32"/>
        </w:rPr>
        <w:t>7. Gross Margin Analysis</w:t>
      </w:r>
    </w:p>
    <w:tbl>
      <w:tblPr>
        <w:tblW w:type="auto" w:w="0"/>
        <w:jc w:val="left"/>
        <w:tblLook w:firstColumn="1" w:firstRow="1" w:lastColumn="0" w:lastRow="0" w:noHBand="0" w:noVBand="1" w:val="04A0"/>
        <w:tblW w:w="5000" w:type="pct"/>
      </w:tblPr>
      <w:tblGrid>
        <w:gridCol w:w="1872"/>
        <w:gridCol w:w="1872"/>
        <w:gridCol w:w="1872"/>
        <w:gridCol w:w="1872"/>
        <w:gridCol w:w="1872"/>
      </w:tblGrid>
      <w:tr>
        <w:tc>
          <w:tcPr>
            <w:tcW w:type="dxa" w:w="2304"/>
            <w:shd w:val="clear" w:color="auto" w:fill="1F3864"/>
            <w:vAlign w:val="center"/>
          </w:tcPr>
          <w:p>
            <w:pPr>
              <w:jc w:val="left"/>
            </w:pPr>
            <w:r>
              <w:rPr>
                <w:rFonts w:ascii="Arial" w:hAnsi="Arial"/>
                <w:b/>
                <w:color w:val="FFFFFF"/>
                <w:sz w:val="20"/>
              </w:rPr>
              <w:t>Revenue Stage</w:t>
            </w:r>
          </w:p>
        </w:tc>
        <w:tc>
          <w:tcPr>
            <w:tcW w:type="dxa" w:w="1440"/>
            <w:shd w:val="clear" w:color="auto" w:fill="1F3864"/>
            <w:vAlign w:val="center"/>
          </w:tcPr>
          <w:p>
            <w:pPr>
              <w:jc w:val="left"/>
            </w:pPr>
            <w:r>
              <w:rPr>
                <w:rFonts w:ascii="Arial" w:hAnsi="Arial"/>
                <w:b/>
                <w:color w:val="FFFFFF"/>
                <w:sz w:val="20"/>
              </w:rPr>
              <w:t>ARR</w:t>
            </w:r>
          </w:p>
        </w:tc>
        <w:tc>
          <w:tcPr>
            <w:tcW w:type="dxa" w:w="2016"/>
            <w:shd w:val="clear" w:color="auto" w:fill="1F3864"/>
            <w:vAlign w:val="center"/>
          </w:tcPr>
          <w:p>
            <w:pPr>
              <w:jc w:val="left"/>
            </w:pPr>
            <w:r>
              <w:rPr>
                <w:rFonts w:ascii="Arial" w:hAnsi="Arial"/>
                <w:b/>
                <w:color w:val="FFFFFF"/>
                <w:sz w:val="20"/>
              </w:rPr>
              <w:t>Monthly AI Cost</w:t>
            </w:r>
          </w:p>
        </w:tc>
        <w:tc>
          <w:tcPr>
            <w:tcW w:type="dxa" w:w="1728"/>
            <w:shd w:val="clear" w:color="auto" w:fill="1F3864"/>
            <w:vAlign w:val="center"/>
          </w:tcPr>
          <w:p>
            <w:pPr>
              <w:jc w:val="left"/>
            </w:pPr>
            <w:r>
              <w:rPr>
                <w:rFonts w:ascii="Arial" w:hAnsi="Arial"/>
                <w:b/>
                <w:color w:val="FFFFFF"/>
                <w:sz w:val="20"/>
              </w:rPr>
              <w:t>Monthly Infra</w:t>
            </w:r>
          </w:p>
        </w:tc>
        <w:tc>
          <w:tcPr>
            <w:tcW w:type="dxa" w:w="3312"/>
            <w:shd w:val="clear" w:color="auto" w:fill="1F3864"/>
            <w:vAlign w:val="center"/>
          </w:tcPr>
          <w:p>
            <w:pPr>
              <w:jc w:val="left"/>
            </w:pPr>
            <w:r>
              <w:rPr>
                <w:rFonts w:ascii="Arial" w:hAnsi="Arial"/>
                <w:b/>
                <w:color w:val="FFFFFF"/>
                <w:sz w:val="20"/>
              </w:rPr>
              <w:t>Gross Margin</w:t>
            </w:r>
          </w:p>
        </w:tc>
      </w:tr>
      <w:tr>
        <w:tc>
          <w:tcPr>
            <w:tcW w:type="dxa" w:w="2304"/>
            <w:shd w:val="clear" w:color="auto" w:fill="FFFFFF"/>
            <w:vAlign w:val="center"/>
          </w:tcPr>
          <w:p>
            <w:pPr>
              <w:jc w:val="left"/>
            </w:pPr>
            <w:r>
              <w:rPr>
                <w:rFonts w:ascii="Arial" w:hAnsi="Arial"/>
                <w:color w:val="000000"/>
                <w:sz w:val="20"/>
              </w:rPr>
              <w:t>Pre-revenue</w:t>
            </w:r>
          </w:p>
        </w:tc>
        <w:tc>
          <w:tcPr>
            <w:tcW w:type="dxa" w:w="1440"/>
            <w:shd w:val="clear" w:color="auto" w:fill="FFFFFF"/>
            <w:vAlign w:val="center"/>
          </w:tcPr>
          <w:p>
            <w:pPr>
              <w:jc w:val="left"/>
            </w:pPr>
            <w:r>
              <w:rPr>
                <w:rFonts w:ascii="Arial" w:hAnsi="Arial"/>
                <w:color w:val="000000"/>
                <w:sz w:val="20"/>
              </w:rPr>
              <w:t>$0</w:t>
            </w:r>
          </w:p>
        </w:tc>
        <w:tc>
          <w:tcPr>
            <w:tcW w:type="dxa" w:w="2016"/>
            <w:shd w:val="clear" w:color="auto" w:fill="FFFFFF"/>
            <w:vAlign w:val="center"/>
          </w:tcPr>
          <w:p>
            <w:pPr>
              <w:jc w:val="left"/>
            </w:pPr>
            <w:r>
              <w:rPr>
                <w:rFonts w:ascii="Arial" w:hAnsi="Arial"/>
                <w:color w:val="000000"/>
                <w:sz w:val="20"/>
              </w:rPr>
              <w:t>$150–$300</w:t>
            </w:r>
          </w:p>
        </w:tc>
        <w:tc>
          <w:tcPr>
            <w:tcW w:type="dxa" w:w="1728"/>
            <w:shd w:val="clear" w:color="auto" w:fill="FFFFFF"/>
            <w:vAlign w:val="center"/>
          </w:tcPr>
          <w:p>
            <w:pPr>
              <w:jc w:val="left"/>
            </w:pPr>
            <w:r>
              <w:rPr>
                <w:rFonts w:ascii="Arial" w:hAnsi="Arial"/>
                <w:color w:val="000000"/>
                <w:sz w:val="20"/>
              </w:rPr>
              <w:t>$50–$100</w:t>
            </w:r>
          </w:p>
        </w:tc>
        <w:tc>
          <w:tcPr>
            <w:tcW w:type="dxa" w:w="3312"/>
            <w:shd w:val="clear" w:color="auto" w:fill="FFFFFF"/>
            <w:vAlign w:val="center"/>
          </w:tcPr>
          <w:p>
            <w:pPr>
              <w:jc w:val="left"/>
            </w:pPr>
            <w:r>
              <w:rPr>
                <w:rFonts w:ascii="Arial" w:hAnsi="Arial"/>
                <w:color w:val="000000"/>
                <w:sz w:val="20"/>
              </w:rPr>
              <w:t>N/A (founder-funded)</w:t>
            </w:r>
          </w:p>
        </w:tc>
      </w:tr>
      <w:tr>
        <w:tc>
          <w:tcPr>
            <w:tcW w:type="dxa" w:w="2304"/>
            <w:shd w:val="clear" w:color="auto" w:fill="F2F2F2"/>
            <w:vAlign w:val="center"/>
          </w:tcPr>
          <w:p>
            <w:pPr>
              <w:jc w:val="left"/>
            </w:pPr>
            <w:r>
              <w:rPr>
                <w:rFonts w:ascii="Arial" w:hAnsi="Arial"/>
                <w:color w:val="000000"/>
                <w:sz w:val="20"/>
              </w:rPr>
              <w:t>Coral Academy only</w:t>
            </w:r>
          </w:p>
        </w:tc>
        <w:tc>
          <w:tcPr>
            <w:tcW w:type="dxa" w:w="1440"/>
            <w:shd w:val="clear" w:color="auto" w:fill="F2F2F2"/>
            <w:vAlign w:val="center"/>
          </w:tcPr>
          <w:p>
            <w:pPr>
              <w:jc w:val="left"/>
            </w:pPr>
            <w:r>
              <w:rPr>
                <w:rFonts w:ascii="Arial" w:hAnsi="Arial"/>
                <w:color w:val="000000"/>
                <w:sz w:val="20"/>
              </w:rPr>
              <w:t>$15,000</w:t>
            </w:r>
          </w:p>
        </w:tc>
        <w:tc>
          <w:tcPr>
            <w:tcW w:type="dxa" w:w="2016"/>
            <w:shd w:val="clear" w:color="auto" w:fill="F2F2F2"/>
            <w:vAlign w:val="center"/>
          </w:tcPr>
          <w:p>
            <w:pPr>
              <w:jc w:val="left"/>
            </w:pPr>
            <w:r>
              <w:rPr>
                <w:rFonts w:ascii="Arial" w:hAnsi="Arial"/>
                <w:color w:val="000000"/>
                <w:sz w:val="20"/>
              </w:rPr>
              <w:t>$300–$500</w:t>
            </w:r>
          </w:p>
        </w:tc>
        <w:tc>
          <w:tcPr>
            <w:tcW w:type="dxa" w:w="1728"/>
            <w:shd w:val="clear" w:color="auto" w:fill="F2F2F2"/>
            <w:vAlign w:val="center"/>
          </w:tcPr>
          <w:p>
            <w:pPr>
              <w:jc w:val="left"/>
            </w:pPr>
            <w:r>
              <w:rPr>
                <w:rFonts w:ascii="Arial" w:hAnsi="Arial"/>
                <w:color w:val="000000"/>
                <w:sz w:val="20"/>
              </w:rPr>
              <w:t>$50–$150</w:t>
            </w:r>
          </w:p>
        </w:tc>
        <w:tc>
          <w:tcPr>
            <w:tcW w:type="dxa" w:w="3312"/>
            <w:shd w:val="clear" w:color="auto" w:fill="F2F2F2"/>
            <w:vAlign w:val="center"/>
          </w:tcPr>
          <w:p>
            <w:pPr>
              <w:jc w:val="left"/>
            </w:pPr>
            <w:r>
              <w:rPr>
                <w:rFonts w:ascii="Arial" w:hAnsi="Arial"/>
                <w:color w:val="000000"/>
                <w:sz w:val="20"/>
              </w:rPr>
              <w:t>~78%</w:t>
            </w:r>
          </w:p>
        </w:tc>
      </w:tr>
      <w:tr>
        <w:tc>
          <w:tcPr>
            <w:tcW w:type="dxa" w:w="2304"/>
            <w:shd w:val="clear" w:color="auto" w:fill="FFFFFF"/>
            <w:vAlign w:val="center"/>
          </w:tcPr>
          <w:p>
            <w:pPr>
              <w:jc w:val="left"/>
            </w:pPr>
            <w:r>
              <w:rPr>
                <w:rFonts w:ascii="Arial" w:hAnsi="Arial"/>
                <w:color w:val="000000"/>
                <w:sz w:val="20"/>
              </w:rPr>
              <w:t>15 charters</w:t>
            </w:r>
          </w:p>
        </w:tc>
        <w:tc>
          <w:tcPr>
            <w:tcW w:type="dxa" w:w="1440"/>
            <w:shd w:val="clear" w:color="auto" w:fill="FFFFFF"/>
            <w:vAlign w:val="center"/>
          </w:tcPr>
          <w:p>
            <w:pPr>
              <w:jc w:val="left"/>
            </w:pPr>
            <w:r>
              <w:rPr>
                <w:rFonts w:ascii="Arial" w:hAnsi="Arial"/>
                <w:color w:val="000000"/>
                <w:sz w:val="20"/>
              </w:rPr>
              <w:t>$500,000</w:t>
            </w:r>
          </w:p>
        </w:tc>
        <w:tc>
          <w:tcPr>
            <w:tcW w:type="dxa" w:w="2016"/>
            <w:shd w:val="clear" w:color="auto" w:fill="FFFFFF"/>
            <w:vAlign w:val="center"/>
          </w:tcPr>
          <w:p>
            <w:pPr>
              <w:jc w:val="left"/>
            </w:pPr>
            <w:r>
              <w:rPr>
                <w:rFonts w:ascii="Arial" w:hAnsi="Arial"/>
                <w:color w:val="000000"/>
                <w:sz w:val="20"/>
              </w:rPr>
              <w:t>$1,000–$2,000</w:t>
            </w:r>
          </w:p>
        </w:tc>
        <w:tc>
          <w:tcPr>
            <w:tcW w:type="dxa" w:w="1728"/>
            <w:shd w:val="clear" w:color="auto" w:fill="FFFFFF"/>
            <w:vAlign w:val="center"/>
          </w:tcPr>
          <w:p>
            <w:pPr>
              <w:jc w:val="left"/>
            </w:pPr>
            <w:r>
              <w:rPr>
                <w:rFonts w:ascii="Arial" w:hAnsi="Arial"/>
                <w:color w:val="000000"/>
                <w:sz w:val="20"/>
              </w:rPr>
              <w:t>$200–$500</w:t>
            </w:r>
          </w:p>
        </w:tc>
        <w:tc>
          <w:tcPr>
            <w:tcW w:type="dxa" w:w="3312"/>
            <w:shd w:val="clear" w:color="auto" w:fill="FFFFFF"/>
            <w:vAlign w:val="center"/>
          </w:tcPr>
          <w:p>
            <w:pPr>
              <w:jc w:val="left"/>
            </w:pPr>
            <w:r>
              <w:rPr>
                <w:rFonts w:ascii="Arial" w:hAnsi="Arial"/>
                <w:color w:val="000000"/>
                <w:sz w:val="20"/>
              </w:rPr>
              <w:t>~88%</w:t>
            </w:r>
          </w:p>
        </w:tc>
      </w:tr>
      <w:tr>
        <w:tc>
          <w:tcPr>
            <w:tcW w:type="dxa" w:w="2304"/>
            <w:shd w:val="clear" w:color="auto" w:fill="F2F2F2"/>
            <w:vAlign w:val="center"/>
          </w:tcPr>
          <w:p>
            <w:pPr>
              <w:jc w:val="left"/>
            </w:pPr>
            <w:r>
              <w:rPr>
                <w:rFonts w:ascii="Arial" w:hAnsi="Arial"/>
                <w:color w:val="000000"/>
                <w:sz w:val="20"/>
              </w:rPr>
              <w:t>CCSD enterprise</w:t>
            </w:r>
          </w:p>
        </w:tc>
        <w:tc>
          <w:tcPr>
            <w:tcW w:type="dxa" w:w="1440"/>
            <w:shd w:val="clear" w:color="auto" w:fill="F2F2F2"/>
            <w:vAlign w:val="center"/>
          </w:tcPr>
          <w:p>
            <w:pPr>
              <w:jc w:val="left"/>
            </w:pPr>
            <w:r>
              <w:rPr>
                <w:rFonts w:ascii="Arial" w:hAnsi="Arial"/>
                <w:color w:val="000000"/>
                <w:sz w:val="20"/>
              </w:rPr>
              <w:t>$1,500,000</w:t>
            </w:r>
          </w:p>
        </w:tc>
        <w:tc>
          <w:tcPr>
            <w:tcW w:type="dxa" w:w="2016"/>
            <w:shd w:val="clear" w:color="auto" w:fill="F2F2F2"/>
            <w:vAlign w:val="center"/>
          </w:tcPr>
          <w:p>
            <w:pPr>
              <w:jc w:val="left"/>
            </w:pPr>
            <w:r>
              <w:rPr>
                <w:rFonts w:ascii="Arial" w:hAnsi="Arial"/>
                <w:color w:val="000000"/>
                <w:sz w:val="20"/>
              </w:rPr>
              <w:t>$2,000–$5,000</w:t>
            </w:r>
          </w:p>
        </w:tc>
        <w:tc>
          <w:tcPr>
            <w:tcW w:type="dxa" w:w="1728"/>
            <w:shd w:val="clear" w:color="auto" w:fill="F2F2F2"/>
            <w:vAlign w:val="center"/>
          </w:tcPr>
          <w:p>
            <w:pPr>
              <w:jc w:val="left"/>
            </w:pPr>
            <w:r>
              <w:rPr>
                <w:rFonts w:ascii="Arial" w:hAnsi="Arial"/>
                <w:color w:val="000000"/>
                <w:sz w:val="20"/>
              </w:rPr>
              <w:t>$500–$1,500</w:t>
            </w:r>
          </w:p>
        </w:tc>
        <w:tc>
          <w:tcPr>
            <w:tcW w:type="dxa" w:w="3312"/>
            <w:shd w:val="clear" w:color="auto" w:fill="F2F2F2"/>
            <w:vAlign w:val="center"/>
          </w:tcPr>
          <w:p>
            <w:pPr>
              <w:jc w:val="left"/>
            </w:pPr>
            <w:r>
              <w:rPr>
                <w:rFonts w:ascii="Arial" w:hAnsi="Arial"/>
                <w:color w:val="000000"/>
                <w:sz w:val="20"/>
              </w:rPr>
              <w:t>~90–93%</w:t>
            </w:r>
          </w:p>
        </w:tc>
      </w:tr>
    </w:tbl>
    <w:p>
      <w:pPr>
        <w:spacing w:after="120"/>
      </w:pPr>
      <w:r>
        <w:rPr>
          <w:rFonts w:ascii="Arial" w:hAnsi="Arial"/>
          <w:color w:val="000000"/>
          <w:sz w:val="22"/>
        </w:rPr>
        <w:t>Gross margin improves with scale because the diagnostic engine is deterministic — it incurs zero AI cost regardless of student count. Only study packet generation, parent coaching notes, and (eventually) IEP narrative drafts consume Claude API tokens. As district contracts scale, the per-student AI cost approaches negligible. The business is structurally high-margin: the core product (the diagnostic engine and prerequisite graph) has near-zero variable cost per student once built.</w:t>
      </w:r>
    </w:p>
    <w:p>
      <w:pPr>
        <w:spacing w:after="120"/>
      </w:pPr>
      <w:r>
        <w:rPr>
          <w:rFonts w:ascii="Arial" w:hAnsi="Arial"/>
          <w:i/>
          <w:color w:val="666666"/>
          <w:sz w:val="20"/>
        </w:rPr>
        <w:t>IEP module note: The IEP Content Intelligence module (Phase 2) will increase per-student AI cost when activated — each IEP narrative draft consumes meaningful token volume. However, the IEP module justifies a pricing premium that more than offsets the additional cost. Expected IEP module pricing add-on: $1,500–$3,000/year per school or included in contracts above $40K/year.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1F3864"/>
      </w:pBdr>
    </w:pPr>
    <w:r>
      <w:rPr>
        <w:rFonts w:ascii="Arial" w:hAnsi="Arial"/>
        <w:color w:val="666666"/>
        <w:sz w:val="16"/>
      </w:rPr>
      <w:t>Co Creator LLC (dba LEF Ai)  ·  Living Eden Frameworks  ·  NV LLC  ·  Patent Pending: U.S. App. No. 63/993,278 · 63/993,317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