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ook w:firstColumn="1" w:firstRow="1" w:lastColumn="0" w:lastRow="0" w:noHBand="0" w:noVBand="1" w:val="04A0"/>
        <w:tblW w:w="9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792"/>
      </w:tblGrid>
      <w:tr>
        <w:tc>
          <w:tcPr>
            <w:tcW w:type="dxa" w:w="9792"/>
            <w:shd w:val="clear" w:color="auto" w:fill="1F3864"/>
            <w:tcMar>
              <w:top w:w="130" w:type="dxa"/>
              <w:bottom w:w="110" w:type="dxa"/>
              <w:left w:w="200" w:type="dxa"/>
              <w:right w:w="200" w:type="dxa"/>
            </w:tcMar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  <w:spacing w:before="0" w:after="60" w:line="240" w:lineRule="auto"/>
            </w:pPr>
            <w:r>
              <w:rPr>
                <w:rFonts w:ascii="Arial" w:hAnsi="Arial"/>
                <w:b/>
                <w:i w:val="0"/>
                <w:color w:val="FFFFFF"/>
                <w:sz w:val="56"/>
              </w:rPr>
              <w:t>LEF Ed. Logistics</w:t>
            </w:r>
          </w:p>
          <w:p>
            <w:pPr>
              <w:jc w:val="center"/>
              <w:spacing w:before="0" w:after="80" w:line="240" w:lineRule="auto"/>
            </w:pPr>
            <w:r>
              <w:rPr>
                <w:rFonts w:ascii="Arial" w:hAnsi="Arial"/>
                <w:b w:val="0"/>
                <w:i/>
                <w:color w:val="FFFFFF"/>
                <w:sz w:val="24"/>
              </w:rPr>
              <w:t>Diagnostic Intelligence for K-12 Academic Mastery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CCCCCC"/>
                <w:sz w:val="17"/>
              </w:rPr>
              <w:t>Co Creator LLC  ·  lefliving.com  ·  NV LLC  ·  Patent Pending: U.S. App. No. 63/993,278 · 63/993,317</w:t>
            </w:r>
          </w:p>
        </w:tc>
      </w:tr>
      <w:tr>
        <w:trPr>
          <w:trHeight w:val="60" w:hRule="exact"/>
        </w:trPr>
        <w:tc>
          <w:tcPr>
            <w:tcW w:type="dxa" w:w="9792"/>
            <w:shd w:val="clear" w:color="auto" w:fill="FFFFFF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4"/>
              </w:rPr>
            </w:r>
          </w:p>
        </w:tc>
      </w:tr>
      <w:tr>
        <w:tc>
          <w:tcPr>
            <w:tcW w:type="dxa" w:w="9792"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/>
          <w:tbl>
            <w:tblPr>
              <w:tblLook w:firstColumn="1" w:firstRow="1" w:lastColumn="0" w:lastRow="0" w:noHBand="0" w:noVBand="1" w:val="04A0"/>
              <w:tblW w:w="97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3264"/>
              <w:gridCol w:w="3264"/>
              <w:gridCol w:w="3264"/>
            </w:tblGrid>
            <w:tr>
              <w:tc>
                <w:tcPr>
                  <w:tcW w:w="5092" w:type="dxa"/>
                  <w:shd w:val="clear" w:color="auto" w:fill="FFFFFF"/>
                  <w:tcMar>
                    <w:top w:w="60" w:type="dxa"/>
                    <w:bottom w:w="60" w:type="dxa"/>
                    <w:left w:w="0" w:type="dxa"/>
                    <w:right w:w="120" w:type="dxa"/>
                  </w:tcMar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</w:tcPr>
                <w:p>
                  <w:pPr>
                    <w:jc w:val="left"/>
                    <w:spacing w:before="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COMPANY</w:t>
                  </w:r>
                </w:p>
                <w:tbl>
                  <w:tblPr>
                    <w:tblLook w:firstColumn="1" w:firstRow="1" w:lastColumn="0" w:lastRow="0" w:noHBand="0" w:noVBand="1" w:val="04A0"/>
                    <w:tblW w:w="495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</w:tblPr>
                  <w:tblGrid>
                    <w:gridCol w:w="2546"/>
                    <w:gridCol w:w="2546"/>
                  </w:tblGrid>
                  <w:tr>
                    <w:tc>
                      <w:tcPr>
                        <w:tcW w:w="175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Legal Name</w:t>
                        </w:r>
                      </w:p>
                    </w:tc>
                    <w:tc>
                      <w:tcPr>
                        <w:tcW w:w="320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Co Creator LLC</w:t>
                        </w:r>
                      </w:p>
                    </w:tc>
                  </w:tr>
                  <w:tr>
                    <w:tc>
                      <w:tcPr>
                        <w:tcW w:w="175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DBA</w:t>
                        </w:r>
                      </w:p>
                    </w:tc>
                    <w:tc>
                      <w:tcPr>
                        <w:tcW w:w="320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LEF Ai / Living Eden Frameworks</w:t>
                        </w:r>
                      </w:p>
                    </w:tc>
                  </w:tr>
                  <w:tr>
                    <w:tc>
                      <w:tcPr>
                        <w:tcW w:w="175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State</w:t>
                        </w:r>
                      </w:p>
                    </w:tc>
                    <w:tc>
                      <w:tcPr>
                        <w:tcW w:w="320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Nevada LLC</w:t>
                        </w:r>
                      </w:p>
                    </w:tc>
                  </w:tr>
                  <w:tr>
                    <w:tc>
                      <w:tcPr>
                        <w:tcW w:w="175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EIN</w:t>
                        </w:r>
                      </w:p>
                    </w:tc>
                    <w:tc>
                      <w:tcPr>
                        <w:tcW w:w="320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On file</w:t>
                        </w:r>
                      </w:p>
                    </w:tc>
                  </w:tr>
                  <w:tr>
                    <w:tc>
                      <w:tcPr>
                        <w:tcW w:w="175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NAICS</w:t>
                        </w:r>
                      </w:p>
                    </w:tc>
                    <w:tc>
                      <w:tcPr>
                        <w:tcW w:w="320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611710 / 511210</w:t>
                        </w:r>
                      </w:p>
                    </w:tc>
                  </w:tr>
                  <w:tr>
                    <w:tc>
                      <w:tcPr>
                        <w:tcW w:w="175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Website</w:t>
                        </w:r>
                      </w:p>
                    </w:tc>
                    <w:tc>
                      <w:tcPr>
                        <w:tcW w:w="320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lefliving.com</w:t>
                        </w:r>
                      </w:p>
                    </w:tc>
                  </w:tr>
                  <w:tr>
                    <w:tc>
                      <w:tcPr>
                        <w:tcW w:w="175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Founder</w:t>
                        </w:r>
                      </w:p>
                    </w:tc>
                    <w:tc>
                      <w:tcPr>
                        <w:tcW w:w="3200" w:type="dxa"/>
                        <w:shd w:val="clear" w:color="auto" w:fill="FFFFFF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single" w:sz="4" w:space="0" w:color="CCCCCC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Zontonnia Moore</w:t>
                        </w:r>
                      </w:p>
                    </w:tc>
                  </w:tr>
                  <w:tr>
                    <w:tc>
                      <w:tcPr>
                        <w:tcW w:w="175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0" w:type="dxa"/>
                          <w:right w:w="60" w:type="dxa"/>
                        </w:tcMar>
                        <w:tcBorders>
                          <w:top w:val="none" w:sz="0" w:space="0" w:color="FFFFFF"/>
                          <w:bottom w:val="none" w:sz="0" w:space="0" w:color="FFFFFF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/>
                            <w:i w:val="0"/>
                            <w:color w:val="1F3864"/>
                            <w:sz w:val="19"/>
                          </w:rPr>
                          <w:t>Patent Status</w:t>
                        </w:r>
                      </w:p>
                    </w:tc>
                    <w:tc>
                      <w:tcPr>
                        <w:tcW w:w="3200" w:type="dxa"/>
                        <w:shd w:val="clear" w:color="auto" w:fill="F5F5F5"/>
                        <w:tcMar>
                          <w:top w:w="40" w:type="dxa"/>
                          <w:bottom w:w="40" w:type="dxa"/>
                          <w:left w:w="60" w:type="dxa"/>
                          <w:right w:w="0" w:type="dxa"/>
                        </w:tcMar>
                        <w:tcBorders>
                          <w:top w:val="none" w:sz="0" w:space="0" w:color="FFFFFF"/>
                          <w:bottom w:val="none" w:sz="0" w:space="0" w:color="FFFFFF"/>
                          <w:left w:val="none" w:sz="0" w:space="0" w:color="FFFFFF"/>
                          <w:right w:val="none" w:sz="0" w:space="0" w:color="FFFFFF"/>
                        </w:tcBorders>
                      </w:tcPr>
                      <w:p>
                        <w:pPr>
                          <w:jc w:val="left"/>
                          <w:spacing w:before="0" w:after="0" w:line="240" w:lineRule="auto"/>
                        </w:pPr>
                        <w:r>
                          <w:rPr>
                            <w:rFonts w:ascii="Arial" w:hAnsi="Arial"/>
                            <w:b w:val="0"/>
                            <w:i w:val="0"/>
                            <w:color w:val="000000"/>
                            <w:sz w:val="19"/>
                          </w:rPr>
                          <w:t>Pending — 63/993,278 · 63/993,317</w:t>
                        </w:r>
                      </w:p>
                    </w:tc>
                  </w:tr>
                </w:tbl>
                <w:p/>
                <w:p>
                  <w:pPr>
                    <w:jc w:val="left"/>
                    <w:spacing w:before="10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WHAT WE DO</w:t>
                  </w:r>
                </w:p>
                <w:p>
                  <w:pPr>
                    <w:jc w:val="left"/>
                    <w:spacing w:before="40" w:after="40" w:line="241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LEF Ed. Logistics diagnoses why K-12 students struggle, predicts when they will fail next, and autonomously routes each student to the right intervention — without adding teacher workload. The system runs on existing assessment data (NWEA, FastBridge, Renaissance STAR) and existing rosters (Clever). No new platform. No workflow disruption.</w:t>
                  </w:r>
                </w:p>
                <w:p>
                  <w:pPr>
                    <w:jc w:val="left"/>
                    <w:spacing w:before="10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DATA INTEGRATIONS</w:t>
                  </w:r>
                </w:p>
                <w:p>
                  <w:pPr>
                    <w:jc w:val="left"/>
                    <w:spacing w:before="40" w:after="40" w:line="241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NWEA MAP Growth  ·  Renaissance STAR  ·  FastBridge (Illuminate)  ·  Clever</w:t>
                  </w:r>
                </w:p>
                <w:p>
                  <w:pPr>
                    <w:jc w:val="left"/>
                    <w:spacing w:before="10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FUNDING VEHICLES ACCEPTED</w:t>
                  </w:r>
                </w:p>
                <w:p>
                  <w:pPr>
                    <w:jc w:val="left"/>
                    <w:spacing w:before="40" w:after="80" w:line="241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Title IV-A  ·  Title I  ·  IDEA (Phase 2)  ·  Nevada Read by Grade 3  ·  Foundation grants</w:t>
                  </w:r>
                </w:p>
              </w:tc>
              <w:tc>
                <w:tcPr>
                  <w:tcW w:w="49" w:type="dxa"/>
                  <w:shd w:val="clear" w:color="auto" w:fill="DDDDDD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4"/>
                    </w:rPr>
                  </w:r>
                </w:p>
              </w:tc>
              <w:tc>
                <w:tcPr>
                  <w:tcW w:w="4651" w:type="dxa"/>
                  <w:shd w:val="clear" w:color="auto" w:fill="FFFFFF"/>
                  <w:tcMar>
                    <w:top w:w="60" w:type="dxa"/>
                    <w:bottom w:w="60" w:type="dxa"/>
                    <w:left w:w="120" w:type="dxa"/>
                    <w:right w:w="0" w:type="dxa"/>
                  </w:tcMar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</w:tcPr>
                <w:p>
                  <w:pPr>
                    <w:jc w:val="left"/>
                    <w:spacing w:before="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CORE CAPABILITIES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• Root Cause Diagnosis — prerequisite DAG traversal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• Decay-Aware Health Tracking — Ebbinghaus forgetting curve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• Forward Risk Prediction — surfaces risk 4–8 weeks before benchmark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• Autonomous Intervention Loop — routes, monitors, switches without teacher input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• Parent Study Packets — clinical data translated to parent-ready guides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• IEP Content Intelligence — PLOP narratives, SMART goals (Phase 2)</w:t>
                  </w:r>
                </w:p>
                <w:p>
                  <w:pPr>
                    <w:jc w:val="left"/>
                    <w:spacing w:before="10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COMPLIANCE &amp; PRIVACY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• FERPA-compliant data handling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• Nevada Exhibit E (Student Data Privacy Agreement) — available on request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• Student Data Privacy Consortium (SDPC) alignment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• Algorithm transparency on all outputs — no black-box decisions</w:t>
                  </w:r>
                </w:p>
                <w:p>
                  <w:pPr>
                    <w:jc w:val="left"/>
                    <w:spacing w:before="10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PROCUREMENT NOTE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19"/>
                    </w:rPr>
                    <w:t>Sole-source procurement available under NRS Chapter 332.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19"/>
                    </w:rPr>
                    <w:t>Patent-protected diagnostic technology — no equivalent exists.</w:t>
                  </w:r>
                </w:p>
                <w:p>
                  <w:pPr>
                    <w:jc w:val="left"/>
                    <w:spacing w:before="20" w:after="20" w:line="240" w:lineRule="auto"/>
                    <w:ind w:left="180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19"/>
                    </w:rPr>
                    <w:t>Contracts structured for Title IV-A annual cycle compatibility.</w:t>
                  </w:r>
                </w:p>
                <w:p>
                  <w:pPr>
                    <w:jc w:val="left"/>
                    <w:spacing w:before="100" w:after="60" w:line="240" w:lineRule="auto"/>
                    <w:pBdr>
                      <w:bottom w:val="single" w:sz="8" w:space="1" w:color="1F3864"/>
                    </w:pBdr>
                  </w:pPr>
                  <w:r>
                    <w:rPr>
                      <w:rFonts w:ascii="Arial" w:hAnsi="Arial"/>
                      <w:b/>
                      <w:color w:val="1F3864"/>
                      <w:sz w:val="18"/>
                    </w:rPr>
                    <w:t>CONTACT</w:t>
                  </w:r>
                </w:p>
                <w:p>
                  <w:pPr>
                    <w:jc w:val="left"/>
                    <w:spacing w:before="20" w:after="20" w:line="241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Zontonnia Moore, Founder</w:t>
                  </w:r>
                </w:p>
                <w:p>
                  <w:pPr>
                    <w:jc w:val="left"/>
                    <w:spacing w:before="20" w:after="20" w:line="241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lefliving.com</w:t>
                  </w:r>
                </w:p>
                <w:p>
                  <w:pPr>
                    <w:jc w:val="left"/>
                    <w:spacing w:before="20" w:after="80" w:line="241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000000"/>
                      <w:sz w:val="20"/>
                    </w:rPr>
                    <w:t>[Contact details to be added]</w:t>
                  </w:r>
                </w:p>
              </w:tc>
            </w:tr>
          </w:tbl>
          <w:p/>
        </w:tc>
      </w:tr>
      <w:tr>
        <w:tc>
          <w:tcPr>
            <w:tcW w:type="dxa" w:w="9792"/>
            <w:shd w:val="clear" w:color="auto" w:fill="F5F5F5"/>
            <w:tcMar>
              <w:top w:w="90" w:type="dxa"/>
              <w:bottom w:w="90" w:type="dxa"/>
              <w:left w:w="200" w:type="dxa"/>
              <w:right w:w="200" w:type="dxa"/>
            </w:tcMar>
            <w:tcBorders>
              <w:top w:val="single" w:sz="8" w:space="0" w:color="1F3864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888888"/>
                <w:sz w:val="15"/>
              </w:rPr>
              <w:t>LEF Ed. Logistics  ·  Vendor Capability Statement  ·  March 2026  ·  Co Creator LLC (dba LEF Ai)  ·  NV LLC  ·  Patent Pending: U.S. App. No. 63/993,278 · 63/993,317</w:t>
            </w:r>
          </w:p>
        </w:tc>
      </w:tr>
    </w:tbl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