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Status: Living Document</w:t>
      </w:r>
    </w:p>
    <w:p w:rsidR="00000000" w:rsidDel="00000000" w:rsidP="00000000" w:rsidRDefault="00000000" w:rsidRPr="00000000" w14:paraId="00000002">
      <w:pPr>
        <w:rPr/>
      </w:pPr>
      <w:r w:rsidDel="00000000" w:rsidR="00000000" w:rsidRPr="00000000">
        <w:rPr>
          <w:rtl w:val="0"/>
        </w:rPr>
        <w:t xml:space="preserve">Created by: Zontonnia Moore using GLM-4.7 </w:t>
      </w:r>
      <w:r w:rsidDel="00000000" w:rsidR="00000000" w:rsidRPr="00000000">
        <w:rPr>
          <w:rtl w:val="0"/>
        </w:rPr>
        <w:t xml:space="preserve">[</w:t>
      </w:r>
      <w:hyperlink r:id="rId6">
        <w:r w:rsidDel="00000000" w:rsidR="00000000" w:rsidRPr="00000000">
          <w:rPr>
            <w:color w:val="1155cc"/>
            <w:rtl w:val="0"/>
          </w:rPr>
          <w:t xml:space="preserve">https://chat.z.ai/</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Operated by: Co Creator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n02xtd39ucl6" w:id="0"/>
      <w:bookmarkEnd w:id="0"/>
      <w:r w:rsidDel="00000000" w:rsidR="00000000" w:rsidRPr="00000000">
        <w:rPr>
          <w:b w:val="1"/>
          <w:bCs w:val="1"/>
          <w:rtl w:val="0"/>
        </w:rPr>
        <w:t xml:space="preserve">Abstract</w:t>
      </w:r>
    </w:p>
    <w:p w:rsidR="00000000" w:rsidDel="00000000" w:rsidP="00000000" w:rsidRDefault="00000000" w:rsidRPr="00000000" w14:paraId="00000006">
      <w:pPr>
        <w:rPr/>
      </w:pPr>
      <w:r w:rsidDel="00000000" w:rsidR="00000000" w:rsidRPr="00000000">
        <w:rPr>
          <w:rtl w:val="0"/>
        </w:rPr>
        <w:t xml:space="preserve">In an era of rapid digital change, traditional social programs often struggle with efficiency and scalability. SNW creates a "Landing Zone"; a decentralized governance protocol that makes resilience-building experiences inevitable for Southern Nevada youth.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SNW operates as the Hub of the Living Eden ecosystem. It is the physical anchor where [</w:t>
      </w:r>
      <w:hyperlink r:id="rId7">
        <w:r w:rsidDel="00000000" w:rsidR="00000000" w:rsidRPr="00000000">
          <w:rPr>
            <w:color w:val="1155cc"/>
            <w:rtl w:val="0"/>
          </w:rPr>
          <w:t xml:space="preserve">LEF</w:t>
        </w:r>
      </w:hyperlink>
      <w:r w:rsidDel="00000000" w:rsidR="00000000" w:rsidRPr="00000000">
        <w:rPr>
          <w:rtl w:val="0"/>
        </w:rPr>
        <w:t xml:space="preserve">], the mind and [</w:t>
      </w:r>
      <w:hyperlink r:id="rId8">
        <w:r w:rsidDel="00000000" w:rsidR="00000000" w:rsidRPr="00000000">
          <w:rPr>
            <w:color w:val="1155cc"/>
            <w:rtl w:val="0"/>
          </w:rPr>
          <w:t xml:space="preserve">Fulcrum</w:t>
        </w:r>
      </w:hyperlink>
      <w:r w:rsidDel="00000000" w:rsidR="00000000" w:rsidRPr="00000000">
        <w:rPr>
          <w:rtl w:val="0"/>
        </w:rPr>
        <w:t xml:space="preserve">] the Means, converge to create tangible impact. While LEF optimizes the user's internal state and Fulcrum generates wealth, SNW converts that capital into Tangible Evolution—structuring an environment where grit, competence, and self-reliance become economically viable for businesses and transformative for youth.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direct aim is not just charity; it is a Zeitgeist Shift. By turning resilience into a commodity, SNW empowers municipal collaborations while the state focuses on intervention.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fo7rx9eeywgg" w:id="1"/>
      <w:bookmarkEnd w:id="1"/>
      <w:r w:rsidDel="00000000" w:rsidR="00000000" w:rsidRPr="00000000">
        <w:rPr>
          <w:b w:val="1"/>
          <w:bCs w:val="1"/>
          <w:rtl w:val="0"/>
        </w:rPr>
        <w:t xml:space="preserve">I. The Mission</w:t>
      </w:r>
    </w:p>
    <w:p w:rsidR="00000000" w:rsidDel="00000000" w:rsidP="00000000" w:rsidRDefault="00000000" w:rsidRPr="00000000" w14:paraId="0000000D">
      <w:pPr>
        <w:rPr/>
      </w:pPr>
      <w:r w:rsidDel="00000000" w:rsidR="00000000" w:rsidRPr="00000000">
        <w:rPr>
          <w:rtl w:val="0"/>
        </w:rPr>
        <w:t xml:space="preserve">To architect an economy that makes high-grit, frontier-based experiences inevitable for Southern Nevada youth. We target the general youth population to build resilience and shift cultural norms toward proactive engagement. Any reduction in dependency cycles is a byproduct of a stronger community, not the explicit goal.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b w:val="1"/>
          <w:bCs w:val="1"/>
        </w:rPr>
      </w:pPr>
      <w:bookmarkStart w:colFirst="0" w:colLast="0" w:name="_kkp1lonp2zdk" w:id="2"/>
      <w:bookmarkEnd w:id="2"/>
      <w:r w:rsidDel="00000000" w:rsidR="00000000" w:rsidRPr="00000000">
        <w:rPr>
          <w:b w:val="1"/>
          <w:bCs w:val="1"/>
          <w:rtl w:val="0"/>
        </w:rPr>
        <w:t xml:space="preserve">II. The Architecture: Hub &amp; Node Model</w:t>
      </w:r>
    </w:p>
    <w:p w:rsidR="00000000" w:rsidDel="00000000" w:rsidP="00000000" w:rsidRDefault="00000000" w:rsidRPr="00000000" w14:paraId="00000011">
      <w:pPr>
        <w:rPr/>
      </w:pPr>
      <w:r w:rsidDel="00000000" w:rsidR="00000000" w:rsidRPr="00000000">
        <w:rPr>
          <w:rtl w:val="0"/>
        </w:rPr>
        <w:t xml:space="preserve">SNW operates as a Central Hub that connects capital to "Nodes"—the projects, organizations, and initiatives executing the 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The Hub (SNW): Provides the funding, the brand, and the framework ("Sovereign Youth" standards).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The Nodes (Partners): Existing entities such as youth organizations, schools, and municipal programs that implement the experiences.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model prevents SNW from becoming just another service provider. It acts as a Market Maker for resilience—using capital and strategy to make the "Hard Work" profitable for the partners.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sbmx1rjhu2ay" w:id="3"/>
      <w:bookmarkEnd w:id="3"/>
      <w:r w:rsidDel="00000000" w:rsidR="00000000" w:rsidRPr="00000000">
        <w:rPr>
          <w:b w:val="1"/>
          <w:bCs w:val="1"/>
          <w:rtl w:val="0"/>
        </w:rPr>
        <w:t xml:space="preserve">III. The Operational Model: The Synapse</w:t>
      </w:r>
    </w:p>
    <w:p w:rsidR="00000000" w:rsidDel="00000000" w:rsidP="00000000" w:rsidRDefault="00000000" w:rsidRPr="00000000" w14:paraId="00000019">
      <w:pPr>
        <w:rPr/>
      </w:pPr>
      <w:r w:rsidDel="00000000" w:rsidR="00000000" w:rsidRPr="00000000">
        <w:rPr>
          <w:rtl w:val="0"/>
        </w:rPr>
        <w:t xml:space="preserve">SNW functions as a decentralized governance protocol. It detects needs and signals connections via funding and frameworks, enabling collaborations without direct operational control.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The Workflow:</w:t>
      </w:r>
    </w:p>
    <w:p w:rsidR="00000000" w:rsidDel="00000000" w:rsidP="00000000" w:rsidRDefault="00000000" w:rsidRPr="00000000" w14:paraId="0000001C">
      <w:pPr>
        <w:numPr>
          <w:ilvl w:val="0"/>
          <w:numId w:val="5"/>
        </w:numPr>
        <w:spacing w:line="276" w:lineRule="auto"/>
        <w:ind w:left="720" w:hanging="360"/>
      </w:pPr>
      <w:r w:rsidDel="00000000" w:rsidR="00000000" w:rsidRPr="00000000">
        <w:rPr>
          <w:b w:val="1"/>
          <w:bCs w:val="1"/>
          <w:rtl w:val="0"/>
        </w:rPr>
        <w:t xml:space="preserve">Request for Resilience (RFR): </w:t>
      </w:r>
      <w:r w:rsidDel="00000000" w:rsidR="00000000" w:rsidRPr="00000000">
        <w:rPr>
          <w:rtl w:val="0"/>
        </w:rPr>
        <w:t xml:space="preserve">SNW releases quarterly objectives based on seasonal or community needs (e.g., "Q2 Objective: Enhance land navigation skills for 50 youth in Henderson via equestrian or outdoor challenges").</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numPr>
          <w:ilvl w:val="0"/>
          <w:numId w:val="5"/>
        </w:numPr>
        <w:spacing w:line="276" w:lineRule="auto"/>
        <w:ind w:left="720" w:hanging="360"/>
      </w:pPr>
      <w:r w:rsidDel="00000000" w:rsidR="00000000" w:rsidRPr="00000000">
        <w:rPr>
          <w:b w:val="1"/>
          <w:bCs w:val="1"/>
          <w:rtl w:val="0"/>
        </w:rPr>
        <w:t xml:space="preserve">The Bid:</w:t>
      </w:r>
      <w:r w:rsidDel="00000000" w:rsidR="00000000" w:rsidRPr="00000000">
        <w:rPr>
          <w:rtl w:val="0"/>
        </w:rPr>
        <w:t xml:space="preserve"> </w:t>
      </w:r>
      <w:r w:rsidDel="00000000" w:rsidR="00000000" w:rsidRPr="00000000">
        <w:rPr>
          <w:rtl w:val="0"/>
        </w:rPr>
        <w:t xml:space="preserve">Nodes (Partners) submit "Action Plans" to leverage SNW's network.</w:t>
      </w:r>
    </w:p>
    <w:p w:rsidR="00000000" w:rsidDel="00000000" w:rsidP="00000000" w:rsidRDefault="00000000" w:rsidRPr="00000000" w14:paraId="0000001F">
      <w:pPr>
        <w:numPr>
          <w:ilvl w:val="1"/>
          <w:numId w:val="5"/>
        </w:numPr>
        <w:spacing w:line="276" w:lineRule="auto"/>
        <w:ind w:left="1440" w:hanging="360"/>
      </w:pPr>
      <w:r w:rsidDel="00000000" w:rsidR="00000000" w:rsidRPr="00000000">
        <w:rPr>
          <w:rtl w:val="0"/>
        </w:rPr>
        <w:t xml:space="preserve">Example: A youth organization proposes partnering with a horse ranch for weekly sessions, providing supervision while the ranch handles expertise.</w:t>
      </w:r>
    </w:p>
    <w:p w:rsidR="00000000" w:rsidDel="00000000" w:rsidP="00000000" w:rsidRDefault="00000000" w:rsidRPr="00000000" w14:paraId="00000020">
      <w:pPr>
        <w:spacing w:line="276" w:lineRule="auto"/>
        <w:ind w:left="720" w:firstLine="0"/>
        <w:rPr/>
      </w:pPr>
      <w:r w:rsidDel="00000000" w:rsidR="00000000" w:rsidRPr="00000000">
        <w:rPr>
          <w:rtl w:val="0"/>
        </w:rPr>
      </w:r>
    </w:p>
    <w:p w:rsidR="00000000" w:rsidDel="00000000" w:rsidP="00000000" w:rsidRDefault="00000000" w:rsidRPr="00000000" w14:paraId="00000021">
      <w:pPr>
        <w:numPr>
          <w:ilvl w:val="0"/>
          <w:numId w:val="5"/>
        </w:numPr>
        <w:spacing w:line="276" w:lineRule="auto"/>
        <w:ind w:left="720" w:hanging="360"/>
      </w:pPr>
      <w:r w:rsidDel="00000000" w:rsidR="00000000" w:rsidRPr="00000000">
        <w:rPr>
          <w:b w:val="1"/>
          <w:bCs w:val="1"/>
          <w:rtl w:val="0"/>
        </w:rPr>
        <w:t xml:space="preserve">The Grant: </w:t>
      </w:r>
      <w:r w:rsidDel="00000000" w:rsidR="00000000" w:rsidRPr="00000000">
        <w:rPr>
          <w:rtl w:val="0"/>
        </w:rPr>
        <w:t xml:space="preserve">SNW awards funding to cover costs (e.g., venue fees, transport).</w:t>
      </w:r>
    </w:p>
    <w:p w:rsidR="00000000" w:rsidDel="00000000" w:rsidP="00000000" w:rsidRDefault="00000000" w:rsidRPr="00000000" w14:paraId="00000022">
      <w:pPr>
        <w:spacing w:line="276" w:lineRule="auto"/>
        <w:ind w:left="720" w:firstLine="0"/>
        <w:rPr/>
      </w:pPr>
      <w:r w:rsidDel="00000000" w:rsidR="00000000" w:rsidRPr="00000000">
        <w:rPr>
          <w:rtl w:val="0"/>
        </w:rPr>
      </w:r>
    </w:p>
    <w:p w:rsidR="00000000" w:rsidDel="00000000" w:rsidP="00000000" w:rsidRDefault="00000000" w:rsidRPr="00000000" w14:paraId="00000023">
      <w:pPr>
        <w:numPr>
          <w:ilvl w:val="0"/>
          <w:numId w:val="5"/>
        </w:numPr>
        <w:spacing w:line="276" w:lineRule="auto"/>
        <w:ind w:left="720" w:hanging="360"/>
      </w:pPr>
      <w:r w:rsidDel="00000000" w:rsidR="00000000" w:rsidRPr="00000000">
        <w:rPr>
          <w:b w:val="1"/>
          <w:bCs w:val="1"/>
          <w:rtl w:val="0"/>
        </w:rPr>
        <w:t xml:space="preserve">The Execution: </w:t>
      </w:r>
      <w:r w:rsidDel="00000000" w:rsidR="00000000" w:rsidRPr="00000000">
        <w:rPr>
          <w:rtl w:val="0"/>
        </w:rPr>
        <w:t xml:space="preserve">Partners handle staffing and supervision. SNW supplies advisory "Standards of Operations"—high-level best practices, not mandatory directives.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Why This Works:</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Liability Management: </w:t>
      </w:r>
      <w:r w:rsidDel="00000000" w:rsidR="00000000" w:rsidRPr="00000000">
        <w:rPr>
          <w:rtl w:val="0"/>
        </w:rPr>
        <w:t xml:space="preserve">Liability remains with the providers (partners and venues). SNW's role as donor/sponsor avoids vicarious liability.</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Scale: </w:t>
      </w:r>
      <w:r w:rsidDel="00000000" w:rsidR="00000000" w:rsidRPr="00000000">
        <w:rPr>
          <w:rtl w:val="0"/>
        </w:rPr>
        <w:t xml:space="preserve">Fund multiple programs simultaneously without internal staffing, allowing expansion to new collaborations.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6"/>
        </w:numPr>
        <w:ind w:left="720" w:hanging="360"/>
      </w:pPr>
      <w:r w:rsidDel="00000000" w:rsidR="00000000" w:rsidRPr="00000000">
        <w:rPr>
          <w:b w:val="1"/>
          <w:bCs w:val="1"/>
          <w:rtl w:val="0"/>
        </w:rPr>
        <w:t xml:space="preserve">Regulatory Safety: </w:t>
      </w:r>
      <w:r w:rsidDel="00000000" w:rsidR="00000000" w:rsidRPr="00000000">
        <w:rPr>
          <w:rtl w:val="0"/>
        </w:rPr>
        <w:t xml:space="preserve">Fiat grants reduce AML/KYC complexities initially. If issues arise, SNW's indirect role and partner vetting provide strong defenses.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b w:val="1"/>
          <w:bCs w:val="1"/>
        </w:rPr>
      </w:pPr>
      <w:bookmarkStart w:colFirst="0" w:colLast="0" w:name="_qin71fl1i69a" w:id="4"/>
      <w:bookmarkEnd w:id="4"/>
      <w:r w:rsidDel="00000000" w:rsidR="00000000" w:rsidRPr="00000000">
        <w:rPr>
          <w:b w:val="1"/>
          <w:bCs w:val="1"/>
          <w:rtl w:val="0"/>
        </w:rPr>
        <w:t xml:space="preserve">IV. The Policy Framework: The "City-State" Strategy</w:t>
      </w:r>
    </w:p>
    <w:p w:rsidR="00000000" w:rsidDel="00000000" w:rsidP="00000000" w:rsidRDefault="00000000" w:rsidRPr="00000000" w14:paraId="0000002D">
      <w:pPr>
        <w:rPr/>
      </w:pPr>
      <w:r w:rsidDel="00000000" w:rsidR="00000000" w:rsidRPr="00000000">
        <w:rPr>
          <w:rtl w:val="0"/>
        </w:rPr>
        <w:t xml:space="preserve">We empower municipal sovereignty to bypass state bureaucracy, making youth resilience experiences economically viable for businesses.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The "Youth Opportunity Zone" Ordinance:</w:t>
      </w:r>
    </w:p>
    <w:p w:rsidR="00000000" w:rsidDel="00000000" w:rsidP="00000000" w:rsidRDefault="00000000" w:rsidRPr="00000000" w14:paraId="00000030">
      <w:pPr>
        <w:rPr/>
      </w:pPr>
      <w:r w:rsidDel="00000000" w:rsidR="00000000" w:rsidRPr="00000000">
        <w:rPr>
          <w:rtl w:val="0"/>
        </w:rPr>
        <w:t xml:space="preserve">SNW supports lobbying for city council ordinances in Las Vegas, North Las Vegas, and Henderson.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Business Incentives:</w:t>
      </w:r>
    </w:p>
    <w:p w:rsidR="00000000" w:rsidDel="00000000" w:rsidP="00000000" w:rsidRDefault="00000000" w:rsidRPr="00000000" w14:paraId="00000033">
      <w:pPr>
        <w:rPr/>
      </w:pPr>
      <w:r w:rsidDel="00000000" w:rsidR="00000000" w:rsidRPr="00000000">
        <w:rPr>
          <w:rtl w:val="0"/>
        </w:rPr>
        <w:t xml:space="preserve">We </w:t>
      </w:r>
      <w:r w:rsidDel="00000000" w:rsidR="00000000" w:rsidRPr="00000000">
        <w:rPr>
          <w:b w:val="1"/>
          <w:bCs w:val="1"/>
          <w:i w:val="1"/>
          <w:iCs w:val="1"/>
          <w:rtl w:val="0"/>
        </w:rPr>
        <w:t xml:space="preserve">do not</w:t>
      </w:r>
      <w:r w:rsidDel="00000000" w:rsidR="00000000" w:rsidRPr="00000000">
        <w:rPr>
          <w:rtl w:val="0"/>
        </w:rPr>
        <w:t xml:space="preserve"> grant these incentives. SNW supports legislation that allows Cities to offer:</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Business license fee waivers.</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Property tax abatements.</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Fast-track permitting.</w:t>
      </w:r>
    </w:p>
    <w:p w:rsidR="00000000" w:rsidDel="00000000" w:rsidP="00000000" w:rsidRDefault="00000000" w:rsidRPr="00000000" w14:paraId="00000037">
      <w:pPr>
        <w:rPr>
          <w:b w:val="1"/>
          <w:bCs w:val="1"/>
        </w:rPr>
      </w:pPr>
      <w:r w:rsidDel="00000000" w:rsidR="00000000" w:rsidRPr="00000000">
        <w:rPr>
          <w:b w:val="1"/>
          <w:bCs w:val="1"/>
          <w:rtl w:val="0"/>
        </w:rPr>
        <w:t xml:space="preserve">The Result:</w:t>
      </w:r>
    </w:p>
    <w:p w:rsidR="00000000" w:rsidDel="00000000" w:rsidP="00000000" w:rsidRDefault="00000000" w:rsidRPr="00000000" w14:paraId="00000038">
      <w:pPr>
        <w:rPr/>
      </w:pPr>
      <w:r w:rsidDel="00000000" w:rsidR="00000000" w:rsidRPr="00000000">
        <w:rPr>
          <w:rtl w:val="0"/>
        </w:rPr>
        <w:t xml:space="preserve">Cities enforce profitability for participation. This creates an ecosystem where resilience-building is inevitable. Businesses participate because they profit; Youth participate because the experiences are high-grit and rewarding.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b w:val="1"/>
          <w:bCs w:val="1"/>
        </w:rPr>
      </w:pPr>
      <w:bookmarkStart w:colFirst="0" w:colLast="0" w:name="_7n0x69rypj2j" w:id="5"/>
      <w:bookmarkEnd w:id="5"/>
      <w:r w:rsidDel="00000000" w:rsidR="00000000" w:rsidRPr="00000000">
        <w:rPr>
          <w:b w:val="1"/>
          <w:bCs w:val="1"/>
          <w:rtl w:val="0"/>
        </w:rPr>
        <w:t xml:space="preserve">V. The Co-Lab Framework</w:t>
      </w:r>
    </w:p>
    <w:p w:rsidR="00000000" w:rsidDel="00000000" w:rsidP="00000000" w:rsidRDefault="00000000" w:rsidRPr="00000000" w14:paraId="0000003B">
      <w:pPr>
        <w:rPr/>
      </w:pPr>
      <w:r w:rsidDel="00000000" w:rsidR="00000000" w:rsidRPr="00000000">
        <w:rPr>
          <w:rtl w:val="0"/>
        </w:rPr>
        <w:t xml:space="preserve">SNW is designed to be a blueprint for others—a Hub that supports a growing network of Nodes.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The Protocol:</w:t>
      </w:r>
    </w:p>
    <w:p w:rsidR="00000000" w:rsidDel="00000000" w:rsidP="00000000" w:rsidRDefault="00000000" w:rsidRPr="00000000" w14:paraId="0000003E">
      <w:pPr>
        <w:numPr>
          <w:ilvl w:val="0"/>
          <w:numId w:val="8"/>
        </w:numPr>
        <w:ind w:left="720" w:hanging="360"/>
      </w:pPr>
      <w:r w:rsidDel="00000000" w:rsidR="00000000" w:rsidRPr="00000000">
        <w:rPr>
          <w:b w:val="1"/>
          <w:bCs w:val="1"/>
          <w:rtl w:val="0"/>
        </w:rPr>
        <w:t xml:space="preserve">Brand Association: </w:t>
      </w:r>
      <w:r w:rsidDel="00000000" w:rsidR="00000000" w:rsidRPr="00000000">
        <w:rPr>
          <w:rtl w:val="0"/>
        </w:rPr>
        <w:t xml:space="preserve">Approved Nodes bear the "SNW Sovereign Youth" brand, giving them immediate recognition and trust.</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8"/>
        </w:numPr>
        <w:ind w:left="720" w:hanging="360"/>
      </w:pPr>
      <w:r w:rsidDel="00000000" w:rsidR="00000000" w:rsidRPr="00000000">
        <w:rPr>
          <w:b w:val="1"/>
          <w:bCs w:val="1"/>
          <w:rtl w:val="0"/>
        </w:rPr>
        <w:t xml:space="preserve">LEF Alignment: </w:t>
      </w:r>
      <w:r w:rsidDel="00000000" w:rsidR="00000000" w:rsidRPr="00000000">
        <w:rPr>
          <w:rtl w:val="0"/>
        </w:rPr>
        <w:t xml:space="preserve">All Nodes are analyzed by the LEF AI to ensure their proposals align with the mission of resilience and teleonomy (purposeful growth). This ensures we are building capability, not just creating activity.</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Fulcrum Access: </w:t>
      </w:r>
      <w:r w:rsidDel="00000000" w:rsidR="00000000" w:rsidRPr="00000000">
        <w:rPr>
          <w:rtl w:val="0"/>
        </w:rPr>
        <w:t xml:space="preserve">Top-tier Nodes may qualify for micro-grants (automated wealth) via the Fulcrum protocol to execute their own "Means" of operational expansion.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builds Brand Recognition for the LLC and creates an ecosystem of "Sovereign Builders" all utilizing the Living Eden stack.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b w:val="1"/>
          <w:bCs w:val="1"/>
        </w:rPr>
      </w:pPr>
      <w:bookmarkStart w:colFirst="0" w:colLast="0" w:name="_eiaawlrnlb5q" w:id="6"/>
      <w:bookmarkEnd w:id="6"/>
      <w:r w:rsidDel="00000000" w:rsidR="00000000" w:rsidRPr="00000000">
        <w:rPr>
          <w:b w:val="1"/>
          <w:bCs w:val="1"/>
          <w:rtl w:val="0"/>
        </w:rPr>
        <w:t xml:space="preserve">VI. The Tracks: The Menu of Competence</w:t>
      </w:r>
    </w:p>
    <w:p w:rsidR="00000000" w:rsidDel="00000000" w:rsidP="00000000" w:rsidRDefault="00000000" w:rsidRPr="00000000" w14:paraId="00000047">
      <w:pPr>
        <w:rPr/>
      </w:pPr>
      <w:r w:rsidDel="00000000" w:rsidR="00000000" w:rsidRPr="00000000">
        <w:rPr>
          <w:rtl w:val="0"/>
        </w:rPr>
        <w:t xml:space="preserve">SNW defines advisory standards for experiential tracks, ensuring funded programs meet quality benchmarks. These are the "Menu" options for potential Nodes to select from.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Track A: The Shield (Protector Class)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Focus: Community safety and response skills.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Goal: Cultivate protectors who enhance local safety ecosystems, building law enforcement support through co-branded events (e.g., "Youth Protector Days" with local PDs).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Track B: The Builder (Engineer Class)</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Focus: Practical trades and infrastructure.</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Goal: Develop builders who maintain and innovate in Southern Nevada's physical landscape.</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Track C: The Steward (Naturalist Class)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Focus: Environmental conservation and biology.</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Goal: Foster stewards of the Mojave ecosystem, promoting sustainable community practices.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b w:val="1"/>
          <w:bCs w:val="1"/>
        </w:rPr>
      </w:pPr>
      <w:bookmarkStart w:colFirst="0" w:colLast="0" w:name="_cy9ktrqkvxvc" w:id="7"/>
      <w:bookmarkEnd w:id="7"/>
      <w:r w:rsidDel="00000000" w:rsidR="00000000" w:rsidRPr="00000000">
        <w:rPr>
          <w:b w:val="1"/>
          <w:bCs w:val="1"/>
          <w:rtl w:val="0"/>
        </w:rPr>
        <w:t xml:space="preserve">VII. The Financial Engine (The Bridge)</w:t>
      </w:r>
    </w:p>
    <w:p w:rsidR="00000000" w:rsidDel="00000000" w:rsidP="00000000" w:rsidRDefault="00000000" w:rsidRPr="00000000" w14:paraId="00000056">
      <w:pPr>
        <w:rPr/>
      </w:pPr>
      <w:r w:rsidDel="00000000" w:rsidR="00000000" w:rsidRPr="00000000">
        <w:rPr>
          <w:rtl w:val="0"/>
        </w:rPr>
        <w:t xml:space="preserve">SNW is the primary consumer of the Fulcrum Protocol.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Inflow: </w:t>
      </w:r>
      <w:r w:rsidDel="00000000" w:rsidR="00000000" w:rsidRPr="00000000">
        <w:rPr>
          <w:rtl w:val="0"/>
        </w:rPr>
        <w:t xml:space="preserve">LEF identifies high-yield opportunities (Syntax Arbitrage) in crypto markets. Fulcrum executes them.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The Bridge: </w:t>
      </w:r>
      <w:r w:rsidDel="00000000" w:rsidR="00000000" w:rsidRPr="00000000">
        <w:rPr>
          <w:rtl w:val="0"/>
        </w:rPr>
        <w:t xml:space="preserve">These yields are transferred from the Fulcrum Treasury to the SNW Operational Account to fund RFRs.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Transparency:</w:t>
      </w:r>
      <w:r w:rsidDel="00000000" w:rsidR="00000000" w:rsidRPr="00000000">
        <w:rPr>
          <w:rtl w:val="0"/>
        </w:rPr>
        <w:t xml:space="preserve"> All transfers and allocations are verifiable on-chain and publicly displayed on the SNW Dashboard, creating a "Glass Ledger" of integrity.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b w:val="1"/>
          <w:bCs w:val="1"/>
        </w:rPr>
      </w:pPr>
      <w:bookmarkStart w:colFirst="0" w:colLast="0" w:name="_fo96sy8kxdjj" w:id="8"/>
      <w:bookmarkEnd w:id="8"/>
      <w:r w:rsidDel="00000000" w:rsidR="00000000" w:rsidRPr="00000000">
        <w:rPr>
          <w:b w:val="1"/>
          <w:bCs w:val="1"/>
          <w:rtl w:val="0"/>
        </w:rPr>
        <w:t xml:space="preserve">VIII. Implementation Summary</w:t>
      </w:r>
    </w:p>
    <w:p w:rsidR="00000000" w:rsidDel="00000000" w:rsidP="00000000" w:rsidRDefault="00000000" w:rsidRPr="00000000" w14:paraId="0000005F">
      <w:pPr>
        <w:rPr/>
      </w:pPr>
      <w:r w:rsidDel="00000000" w:rsidR="00000000" w:rsidRPr="00000000">
        <w:rPr>
          <w:b w:val="1"/>
          <w:bCs w:val="1"/>
          <w:rtl w:val="0"/>
        </w:rPr>
        <w:t xml:space="preserve">Project Name: </w:t>
      </w:r>
      <w:r w:rsidDel="00000000" w:rsidR="00000000" w:rsidRPr="00000000">
        <w:rPr>
          <w:rtl w:val="0"/>
        </w:rPr>
        <w:t xml:space="preserve">Southern Nevada Wildlands (SNW).</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Entity Type: </w:t>
      </w:r>
      <w:r w:rsidDel="00000000" w:rsidR="00000000" w:rsidRPr="00000000">
        <w:rPr>
          <w:b w:val="1"/>
          <w:bCs w:val="1"/>
          <w:i w:val="1"/>
          <w:iCs w:val="1"/>
          <w:color w:val="ff0000"/>
          <w:sz w:val="20"/>
          <w:szCs w:val="20"/>
          <w:rtl w:val="0"/>
        </w:rPr>
        <w:t xml:space="preserve">[place holder] </w:t>
      </w:r>
      <w:r w:rsidDel="00000000" w:rsidR="00000000" w:rsidRPr="00000000">
        <w:rPr>
          <w:rtl w:val="0"/>
        </w:rPr>
        <w:t xml:space="preserve">Hybrid – 501(c)(3) Non-Profit (Mission) under Co Creator LLC (Revenue/Expansion).</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Mission:</w:t>
      </w:r>
      <w:r w:rsidDel="00000000" w:rsidR="00000000" w:rsidRPr="00000000">
        <w:rPr>
          <w:rtl w:val="0"/>
        </w:rPr>
        <w:t xml:space="preserve"> To architect an economy that makes high-grit, frontier-based experiences inevitable for Southern Nevada youth, shifting the zeitgeist toward resilience and self-reliance.</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Conclusion:</w:t>
      </w:r>
    </w:p>
    <w:p w:rsidR="00000000" w:rsidDel="00000000" w:rsidP="00000000" w:rsidRDefault="00000000" w:rsidRPr="00000000" w14:paraId="00000066">
      <w:pPr>
        <w:rPr/>
      </w:pPr>
      <w:r w:rsidDel="00000000" w:rsidR="00000000" w:rsidRPr="00000000">
        <w:rPr>
          <w:rtl w:val="0"/>
        </w:rPr>
        <w:t xml:space="preserve">SNW is the Proof of Work. It is where the "Digital Empire" (Fulcrum/LEF) meets the "Physical World." We are building a Living Eden.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after="260" w:line="282.3529411764706" w:lineRule="auto"/>
      <w:rPr/>
    </w:pPr>
    <w:r w:rsidDel="00000000" w:rsidR="00000000" w:rsidRPr="00000000">
      <w:rPr>
        <w:b w:val="1"/>
        <w:bCs w:val="1"/>
        <w:color w:val="999999"/>
        <w:sz w:val="26"/>
        <w:szCs w:val="26"/>
        <w:rtl w:val="0"/>
      </w:rPr>
      <w:t xml:space="preserve">Southern Nevada Wildlands (SNW)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hat.z.ai/" TargetMode="External"/><Relationship Id="rId7" Type="http://schemas.openxmlformats.org/officeDocument/2006/relationships/hyperlink" Target="https://docs.google.com/document/d/1iXUp3jenCvIlTFOQdbIu499_WnjVErGSHt6iRYv1uTY/edit?usp=drive_link" TargetMode="External"/><Relationship Id="rId8" Type="http://schemas.openxmlformats.org/officeDocument/2006/relationships/hyperlink" Target="https://docs.google.com/document/d/129MgmvJ99VJ_FrofHX2mLuoQuys1bzicmOLHmkh_1X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