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1458" w14:textId="100960BF" w:rsidR="00204D95" w:rsidRDefault="005673B3" w:rsidP="00F826E1">
      <w:pPr>
        <w:pStyle w:val="Title"/>
      </w:pPr>
      <w:r>
        <w:t>Sharpe Ratio and Sortino Ratio:</w:t>
      </w:r>
    </w:p>
    <w:p w14:paraId="76828036" w14:textId="3DD5A427" w:rsidR="00F826E1" w:rsidRDefault="00F826E1">
      <w:r>
        <w:t>“</w:t>
      </w:r>
      <w:r w:rsidRPr="00F826E1">
        <w:t>Sharpe ratio indicates how well an equity investment is performing compared to a risk-free investment</w:t>
      </w:r>
      <w:r>
        <w:t>”</w:t>
      </w:r>
    </w:p>
    <w:p w14:paraId="5763AB6F" w14:textId="689B4DD2" w:rsidR="00F826E1" w:rsidRDefault="00F826E1">
      <w:r>
        <w:t>Sortino only factors downside risk.</w:t>
      </w:r>
    </w:p>
    <w:p w14:paraId="1642477D" w14:textId="257B9A65" w:rsidR="00F826E1" w:rsidRDefault="00F826E1">
      <w:r>
        <w:t>Calculating Sharpe: (Portfolio Return – Risk Free Rate) / Total Volatility</w:t>
      </w:r>
    </w:p>
    <w:p w14:paraId="2CE27213" w14:textId="43E7A3AF" w:rsidR="00F826E1" w:rsidRDefault="00F826E1">
      <w:r>
        <w:t>Calculating Sortino: (Portfolio Return – MAR) / Total Volatility</w:t>
      </w:r>
    </w:p>
    <w:p w14:paraId="3692F377" w14:textId="18B783FB" w:rsidR="00F826E1" w:rsidRDefault="00F826E1">
      <w:r>
        <w:t>Ex-ante: Based on forecasts not actual results</w:t>
      </w:r>
    </w:p>
    <w:p w14:paraId="4F58D208" w14:textId="77777777" w:rsidR="00F826E1" w:rsidRDefault="00F826E1"/>
    <w:sectPr w:rsidR="00F826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B3"/>
    <w:rsid w:val="00204D95"/>
    <w:rsid w:val="005673B3"/>
    <w:rsid w:val="00581A17"/>
    <w:rsid w:val="00803B60"/>
    <w:rsid w:val="00D516F0"/>
    <w:rsid w:val="00F8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1874"/>
  <w15:chartTrackingRefBased/>
  <w15:docId w15:val="{8A8A4273-25AA-4477-842E-F35A544A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3B3"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B3"/>
    <w:rPr>
      <w:rFonts w:eastAsiaTheme="majorEastAsia" w:cstheme="majorBidi"/>
      <w:color w:val="2F5496" w:themeColor="accent1" w:themeShade="BF"/>
      <w:sz w:val="28"/>
      <w:szCs w:val="28"/>
      <w:lang w:val="en-N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B3"/>
    <w:rPr>
      <w:rFonts w:eastAsiaTheme="majorEastAsia" w:cstheme="majorBidi"/>
      <w:i/>
      <w:iCs/>
      <w:color w:val="2F5496" w:themeColor="accent1" w:themeShade="BF"/>
      <w:lang w:val="en-N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B3"/>
    <w:rPr>
      <w:rFonts w:eastAsiaTheme="majorEastAsia" w:cstheme="majorBidi"/>
      <w:color w:val="2F5496" w:themeColor="accent1" w:themeShade="BF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B3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B3"/>
    <w:rPr>
      <w:rFonts w:eastAsiaTheme="majorEastAsia" w:cstheme="majorBidi"/>
      <w:color w:val="595959" w:themeColor="text1" w:themeTint="A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B3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B3"/>
    <w:rPr>
      <w:rFonts w:eastAsiaTheme="majorEastAsia" w:cstheme="majorBidi"/>
      <w:color w:val="272727" w:themeColor="text1" w:themeTint="D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56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B3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B3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56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B3"/>
    <w:rPr>
      <w:i/>
      <w:iCs/>
      <w:color w:val="404040" w:themeColor="text1" w:themeTint="BF"/>
      <w:lang w:val="en-NZ"/>
    </w:rPr>
  </w:style>
  <w:style w:type="paragraph" w:styleId="ListParagraph">
    <w:name w:val="List Paragraph"/>
    <w:basedOn w:val="Normal"/>
    <w:uiPriority w:val="34"/>
    <w:qFormat/>
    <w:rsid w:val="00567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B3"/>
    <w:rPr>
      <w:i/>
      <w:iCs/>
      <w:color w:val="2F5496" w:themeColor="accent1" w:themeShade="BF"/>
      <w:lang w:val="en-NZ"/>
    </w:rPr>
  </w:style>
  <w:style w:type="character" w:styleId="IntenseReference">
    <w:name w:val="Intense Reference"/>
    <w:basedOn w:val="DefaultParagraphFont"/>
    <w:uiPriority w:val="32"/>
    <w:qFormat/>
    <w:rsid w:val="0056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Purnell</dc:creator>
  <cp:keywords/>
  <dc:description/>
  <cp:lastModifiedBy>Lucas Purnell</cp:lastModifiedBy>
  <cp:revision>2</cp:revision>
  <dcterms:created xsi:type="dcterms:W3CDTF">2026-01-06T04:05:00Z</dcterms:created>
  <dcterms:modified xsi:type="dcterms:W3CDTF">2026-01-06T04:14:00Z</dcterms:modified>
</cp:coreProperties>
</file>